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Bidi"/>
          <w:b w:val="0"/>
          <w:color w:val="4F81BD" w:themeColor="accent1"/>
          <w:spacing w:val="0"/>
          <w:kern w:val="0"/>
          <w:sz w:val="22"/>
          <w:szCs w:val="22"/>
        </w:rPr>
        <w:id w:val="-1534720715"/>
        <w:docPartObj>
          <w:docPartGallery w:val="Cover Pages"/>
          <w:docPartUnique/>
        </w:docPartObj>
      </w:sdtPr>
      <w:sdtEndPr>
        <w:rPr>
          <w:color w:val="auto"/>
          <w:sz w:val="40"/>
        </w:rPr>
      </w:sdtEndPr>
      <w:sdtContent>
        <w:bookmarkStart w:id="0" w:name="_top" w:displacedByCustomXml="prev"/>
        <w:bookmarkEnd w:id="0" w:displacedByCustomXml="prev"/>
        <w:p w14:paraId="7AA79AD5" w14:textId="1FDA2D45" w:rsidR="005E0722" w:rsidRDefault="009949F3" w:rsidP="005E0722">
          <w:pPr>
            <w:pStyle w:val="Title"/>
            <w:spacing w:before="0" w:after="0" w:line="480" w:lineRule="auto"/>
            <w:ind w:left="-2880"/>
            <w:jc w:val="center"/>
            <w:rPr>
              <w:sz w:val="36"/>
              <w:szCs w:val="36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10076D83" wp14:editId="2C79DAFA">
                <wp:simplePos x="969645" y="9144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008120" cy="1202690"/>
                <wp:effectExtent l="0" t="0" r="0" b="0"/>
                <wp:wrapSquare wrapText="bothSides"/>
                <wp:docPr id="254659129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8120" cy="1202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AEBD1D2" w14:textId="77777777" w:rsidR="005E0722" w:rsidRDefault="005E0722" w:rsidP="005E0722">
          <w:pPr>
            <w:pStyle w:val="Title"/>
            <w:spacing w:before="0" w:after="0" w:line="480" w:lineRule="auto"/>
            <w:ind w:left="-2880"/>
            <w:jc w:val="center"/>
            <w:rPr>
              <w:sz w:val="36"/>
              <w:szCs w:val="36"/>
            </w:rPr>
          </w:pPr>
        </w:p>
        <w:p w14:paraId="13DD2342" w14:textId="77777777" w:rsidR="005E0722" w:rsidRDefault="005E0722" w:rsidP="005E0722">
          <w:pPr>
            <w:pStyle w:val="Title"/>
            <w:spacing w:before="0" w:after="0" w:line="480" w:lineRule="auto"/>
            <w:ind w:left="-2880"/>
            <w:jc w:val="center"/>
            <w:rPr>
              <w:sz w:val="36"/>
              <w:szCs w:val="36"/>
            </w:rPr>
          </w:pPr>
        </w:p>
        <w:p w14:paraId="259E56C5" w14:textId="77777777" w:rsidR="005E0722" w:rsidRPr="0007372F" w:rsidRDefault="005E0722" w:rsidP="005E0722">
          <w:pPr>
            <w:pStyle w:val="Title"/>
            <w:spacing w:before="0" w:after="0" w:line="480" w:lineRule="auto"/>
            <w:ind w:left="-2880"/>
            <w:jc w:val="center"/>
            <w:rPr>
              <w:sz w:val="36"/>
              <w:szCs w:val="36"/>
            </w:rPr>
          </w:pPr>
        </w:p>
        <w:p w14:paraId="46739B75" w14:textId="77777777" w:rsidR="005E0722" w:rsidRDefault="005E0722" w:rsidP="005E0722">
          <w:pPr>
            <w:jc w:val="center"/>
            <w:rPr>
              <w:rFonts w:asciiTheme="minorHAnsi" w:hAnsiTheme="minorHAnsi"/>
              <w:b/>
              <w:sz w:val="56"/>
              <w:szCs w:val="56"/>
            </w:rPr>
          </w:pPr>
        </w:p>
        <w:p w14:paraId="5C1FB3D0" w14:textId="77777777" w:rsidR="005E0722" w:rsidRPr="003128F1" w:rsidRDefault="005E0722" w:rsidP="005E0722">
          <w:pPr>
            <w:jc w:val="center"/>
            <w:rPr>
              <w:rFonts w:asciiTheme="minorHAnsi" w:hAnsiTheme="minorHAnsi"/>
              <w:b/>
              <w:sz w:val="56"/>
              <w:szCs w:val="56"/>
            </w:rPr>
          </w:pPr>
          <w:r w:rsidRPr="003128F1">
            <w:rPr>
              <w:rFonts w:asciiTheme="minorHAnsi" w:hAnsiTheme="minorHAnsi"/>
              <w:b/>
              <w:sz w:val="56"/>
              <w:szCs w:val="56"/>
            </w:rPr>
            <w:t>International Association of</w:t>
          </w:r>
        </w:p>
        <w:p w14:paraId="47422A5F" w14:textId="77777777" w:rsidR="005E0722" w:rsidRDefault="005E0722" w:rsidP="005E0722">
          <w:pPr>
            <w:jc w:val="center"/>
            <w:rPr>
              <w:rFonts w:asciiTheme="minorHAnsi" w:hAnsiTheme="minorHAnsi"/>
              <w:b/>
              <w:sz w:val="56"/>
              <w:szCs w:val="56"/>
            </w:rPr>
          </w:pPr>
          <w:r w:rsidRPr="003128F1">
            <w:rPr>
              <w:rFonts w:asciiTheme="minorHAnsi" w:hAnsiTheme="minorHAnsi"/>
              <w:b/>
              <w:sz w:val="56"/>
              <w:szCs w:val="56"/>
            </w:rPr>
            <w:t>Drilling Contractors</w:t>
          </w:r>
        </w:p>
        <w:p w14:paraId="5060695C" w14:textId="77777777" w:rsidR="005E0722" w:rsidRPr="00351159" w:rsidRDefault="005E0722" w:rsidP="005E0722">
          <w:pPr>
            <w:jc w:val="center"/>
            <w:rPr>
              <w:rFonts w:asciiTheme="minorHAnsi" w:hAnsiTheme="minorHAnsi"/>
              <w:b/>
              <w:sz w:val="56"/>
              <w:szCs w:val="56"/>
            </w:rPr>
          </w:pPr>
        </w:p>
        <w:p w14:paraId="1DB6C903" w14:textId="2FD781E2" w:rsidR="005E0722" w:rsidRPr="00B21DA0" w:rsidRDefault="009949F3" w:rsidP="005E0722">
          <w:pPr>
            <w:jc w:val="center"/>
            <w:rPr>
              <w:rFonts w:asciiTheme="minorHAnsi" w:hAnsiTheme="minorHAnsi"/>
              <w:b/>
              <w:sz w:val="56"/>
              <w:szCs w:val="56"/>
            </w:rPr>
          </w:pPr>
          <w:r>
            <w:rPr>
              <w:rFonts w:asciiTheme="minorHAnsi" w:hAnsiTheme="minorHAnsi"/>
              <w:b/>
              <w:sz w:val="56"/>
              <w:szCs w:val="56"/>
            </w:rPr>
            <w:t>Definition of a Serious Injury and Fatality</w:t>
          </w:r>
        </w:p>
        <w:p w14:paraId="084A42B9" w14:textId="77777777" w:rsidR="005E0722" w:rsidRDefault="005E0722" w:rsidP="005E0722">
          <w:pPr>
            <w:jc w:val="center"/>
            <w:rPr>
              <w:rFonts w:asciiTheme="minorHAnsi" w:hAnsiTheme="minorHAnsi"/>
              <w:b/>
              <w:sz w:val="56"/>
              <w:szCs w:val="56"/>
            </w:rPr>
          </w:pPr>
        </w:p>
        <w:p w14:paraId="23EE6363" w14:textId="77777777" w:rsidR="005E0722" w:rsidRPr="00B21DA0" w:rsidRDefault="005E0722" w:rsidP="005E0722">
          <w:pPr>
            <w:jc w:val="center"/>
            <w:rPr>
              <w:rFonts w:asciiTheme="minorHAnsi" w:hAnsiTheme="minorHAnsi"/>
              <w:b/>
              <w:sz w:val="56"/>
              <w:szCs w:val="56"/>
            </w:rPr>
          </w:pPr>
        </w:p>
        <w:p w14:paraId="0F2D2C1A" w14:textId="77777777" w:rsidR="005E0722" w:rsidRDefault="005E0722" w:rsidP="005E0722">
          <w:pPr>
            <w:pStyle w:val="NoSpacing"/>
            <w:spacing w:before="1540" w:after="240"/>
            <w:jc w:val="center"/>
            <w:rPr>
              <w:b/>
              <w:sz w:val="40"/>
            </w:rPr>
          </w:pPr>
          <w:r>
            <w:rPr>
              <w:b/>
              <w:sz w:val="40"/>
            </w:rPr>
            <w:br w:type="page"/>
          </w:r>
        </w:p>
      </w:sdtContent>
    </w:sdt>
    <w:p w14:paraId="53018855" w14:textId="77777777" w:rsidR="00024F2C" w:rsidRPr="001B189B" w:rsidRDefault="00024F2C" w:rsidP="00024F2C">
      <w:pPr>
        <w:ind w:left="360"/>
        <w:rPr>
          <w:rFonts w:asciiTheme="minorHAnsi" w:hAnsiTheme="minorHAnsi"/>
          <w:b/>
          <w:sz w:val="40"/>
        </w:rPr>
      </w:pPr>
      <w:r w:rsidRPr="001B189B">
        <w:rPr>
          <w:rFonts w:asciiTheme="minorHAnsi" w:hAnsiTheme="minorHAnsi"/>
          <w:b/>
          <w:sz w:val="40"/>
        </w:rPr>
        <w:lastRenderedPageBreak/>
        <w:t>Table of Contents</w:t>
      </w:r>
    </w:p>
    <w:p w14:paraId="0A74C12E" w14:textId="0F4D4058" w:rsidR="00FD1F6D" w:rsidRDefault="00024F2C">
      <w:pPr>
        <w:pStyle w:val="TOC1"/>
        <w:tabs>
          <w:tab w:val="left" w:pos="72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14:ligatures w14:val="standardContextual"/>
        </w:rPr>
      </w:pPr>
      <w:r>
        <w:rPr>
          <w:rFonts w:asciiTheme="majorHAnsi" w:hAnsiTheme="majorHAnsi"/>
          <w:b w:val="0"/>
          <w:sz w:val="22"/>
          <w:szCs w:val="22"/>
        </w:rPr>
        <w:fldChar w:fldCharType="begin"/>
      </w:r>
      <w:r>
        <w:rPr>
          <w:rFonts w:asciiTheme="majorHAnsi" w:hAnsiTheme="majorHAnsi"/>
          <w:b w:val="0"/>
          <w:sz w:val="22"/>
          <w:szCs w:val="22"/>
        </w:rPr>
        <w:instrText xml:space="preserve"> TOC \o "1-4" \h \z \u </w:instrText>
      </w:r>
      <w:r>
        <w:rPr>
          <w:rFonts w:asciiTheme="majorHAnsi" w:hAnsiTheme="majorHAnsi"/>
          <w:b w:val="0"/>
          <w:sz w:val="22"/>
          <w:szCs w:val="22"/>
        </w:rPr>
        <w:fldChar w:fldCharType="separate"/>
      </w:r>
      <w:hyperlink w:anchor="_Toc221522599" w:history="1">
        <w:r w:rsidR="00FD1F6D" w:rsidRPr="0057433F">
          <w:rPr>
            <w:rStyle w:val="Hyperlink"/>
            <w:rFonts w:ascii="Aptos" w:hAnsi="Aptos"/>
          </w:rPr>
          <w:t>1</w:t>
        </w:r>
        <w:r w:rsidR="00FD1F6D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14:ligatures w14:val="standardContextual"/>
          </w:rPr>
          <w:tab/>
        </w:r>
        <w:r w:rsidR="00FD1F6D" w:rsidRPr="0057433F">
          <w:rPr>
            <w:rStyle w:val="Hyperlink"/>
            <w:rFonts w:ascii="Aptos" w:hAnsi="Aptos"/>
          </w:rPr>
          <w:t>Introduction</w:t>
        </w:r>
        <w:r w:rsidR="00FD1F6D">
          <w:rPr>
            <w:webHidden/>
          </w:rPr>
          <w:tab/>
        </w:r>
        <w:r w:rsidR="00FD1F6D">
          <w:rPr>
            <w:webHidden/>
          </w:rPr>
          <w:fldChar w:fldCharType="begin"/>
        </w:r>
        <w:r w:rsidR="00FD1F6D">
          <w:rPr>
            <w:webHidden/>
          </w:rPr>
          <w:instrText xml:space="preserve"> PAGEREF _Toc221522599 \h </w:instrText>
        </w:r>
        <w:r w:rsidR="00FD1F6D">
          <w:rPr>
            <w:webHidden/>
          </w:rPr>
        </w:r>
        <w:r w:rsidR="00FD1F6D">
          <w:rPr>
            <w:webHidden/>
          </w:rPr>
          <w:fldChar w:fldCharType="separate"/>
        </w:r>
        <w:r w:rsidR="00FD1F6D">
          <w:rPr>
            <w:webHidden/>
          </w:rPr>
          <w:t>2</w:t>
        </w:r>
        <w:r w:rsidR="00FD1F6D">
          <w:rPr>
            <w:webHidden/>
          </w:rPr>
          <w:fldChar w:fldCharType="end"/>
        </w:r>
      </w:hyperlink>
    </w:p>
    <w:p w14:paraId="3C23C8E5" w14:textId="1A9C95DE" w:rsidR="00FD1F6D" w:rsidRDefault="00FD1F6D">
      <w:pPr>
        <w:pStyle w:val="TOC1"/>
        <w:tabs>
          <w:tab w:val="left" w:pos="720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14:ligatures w14:val="standardContextual"/>
        </w:rPr>
      </w:pPr>
      <w:hyperlink w:anchor="_Toc221522600" w:history="1">
        <w:r w:rsidRPr="0057433F">
          <w:rPr>
            <w:rStyle w:val="Hyperlink"/>
            <w:rFonts w:ascii="Aptos" w:hAnsi="Aptos" w:cs="Arial"/>
          </w:rPr>
          <w:t>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14:ligatures w14:val="standardContextual"/>
          </w:rPr>
          <w:tab/>
        </w:r>
        <w:r w:rsidRPr="0057433F">
          <w:rPr>
            <w:rStyle w:val="Hyperlink"/>
            <w:rFonts w:ascii="Aptos" w:hAnsi="Aptos" w:cs="Arial"/>
          </w:rPr>
          <w:t>What is a SIF?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_Toc221522600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3DEC219" w14:textId="7ADC6BE2" w:rsidR="00FD1F6D" w:rsidRDefault="00FD1F6D">
      <w:pPr>
        <w:pStyle w:val="TOC2"/>
        <w:tabs>
          <w:tab w:val="left" w:pos="1260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1522601" w:history="1">
        <w:r w:rsidRPr="0057433F">
          <w:rPr>
            <w:rStyle w:val="Hyperlink"/>
            <w:rFonts w:cs="Aria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7433F">
          <w:rPr>
            <w:rStyle w:val="Hyperlink"/>
            <w:rFonts w:ascii="Aptos" w:hAnsi="Aptos"/>
          </w:rPr>
          <w:t>SIF Actual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_Toc221522601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3C908CE" w14:textId="779DC598" w:rsidR="00FD1F6D" w:rsidRDefault="00FD1F6D">
      <w:pPr>
        <w:pStyle w:val="TOC2"/>
        <w:tabs>
          <w:tab w:val="left" w:pos="1260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1522602" w:history="1">
        <w:r w:rsidRPr="0057433F">
          <w:rPr>
            <w:rStyle w:val="Hyperlink"/>
            <w:rFonts w:cs="Aria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7433F">
          <w:rPr>
            <w:rStyle w:val="Hyperlink"/>
            <w:rFonts w:ascii="Aptos" w:hAnsi="Aptos"/>
          </w:rPr>
          <w:t>SIF Potential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_Toc221522602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263AADD" w14:textId="25700A92" w:rsidR="00FD1F6D" w:rsidRDefault="00FD1F6D">
      <w:pPr>
        <w:pStyle w:val="TOC2"/>
        <w:tabs>
          <w:tab w:val="left" w:pos="1260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21522603" w:history="1">
        <w:r w:rsidRPr="0057433F">
          <w:rPr>
            <w:rStyle w:val="Hyperlink"/>
            <w:rFonts w:cs="Aria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7433F">
          <w:rPr>
            <w:rStyle w:val="Hyperlink"/>
            <w:rFonts w:ascii="Aptos" w:hAnsi="Aptos"/>
          </w:rPr>
          <w:t>Summary of Key Differences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_Toc221522603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E09AC0" w14:textId="249ECCEF" w:rsidR="00DF03BD" w:rsidRDefault="00024F2C" w:rsidP="00024F2C">
      <w:pPr>
        <w:rPr>
          <w:rFonts w:asciiTheme="majorHAnsi" w:hAnsiTheme="majorHAnsi"/>
          <w:b/>
          <w:noProof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w:fldChar w:fldCharType="end"/>
      </w:r>
    </w:p>
    <w:p w14:paraId="2B9D642F" w14:textId="77777777" w:rsidR="00DF03BD" w:rsidRDefault="00DF03BD">
      <w:pPr>
        <w:spacing w:after="200" w:line="276" w:lineRule="auto"/>
        <w:rPr>
          <w:rFonts w:asciiTheme="majorHAnsi" w:hAnsiTheme="majorHAnsi"/>
          <w:b/>
          <w:noProof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w:br w:type="page"/>
      </w:r>
    </w:p>
    <w:p w14:paraId="50192DE6" w14:textId="77777777" w:rsidR="00DF03BD" w:rsidRPr="00FD1F6D" w:rsidRDefault="00DF03BD" w:rsidP="009949F3">
      <w:pPr>
        <w:pStyle w:val="Heading1"/>
        <w:spacing w:after="120"/>
        <w:rPr>
          <w:rFonts w:ascii="Aptos" w:hAnsi="Aptos"/>
        </w:rPr>
      </w:pPr>
      <w:bookmarkStart w:id="1" w:name="_Toc221522599"/>
      <w:r w:rsidRPr="00FD1F6D">
        <w:rPr>
          <w:rFonts w:ascii="Aptos" w:hAnsi="Aptos"/>
        </w:rPr>
        <w:lastRenderedPageBreak/>
        <w:t>Introduction</w:t>
      </w:r>
      <w:bookmarkEnd w:id="1"/>
    </w:p>
    <w:p w14:paraId="0ECE30AD" w14:textId="7716FF54" w:rsidR="00DF03BD" w:rsidRPr="009949F3" w:rsidRDefault="009949F3" w:rsidP="009949F3">
      <w:pPr>
        <w:pStyle w:val="Body"/>
        <w:spacing w:before="0" w:after="160" w:line="278" w:lineRule="auto"/>
        <w:rPr>
          <w:rFonts w:ascii="Aptos" w:hAnsi="Aptos"/>
          <w:sz w:val="24"/>
          <w:szCs w:val="24"/>
        </w:rPr>
      </w:pPr>
      <w:r w:rsidRPr="009949F3">
        <w:rPr>
          <w:rFonts w:ascii="Aptos" w:hAnsi="Aptos"/>
          <w:sz w:val="24"/>
          <w:szCs w:val="24"/>
        </w:rPr>
        <w:t xml:space="preserve">This document </w:t>
      </w:r>
      <w:bookmarkStart w:id="2" w:name="_Hlk221517975"/>
      <w:r w:rsidRPr="009949F3">
        <w:rPr>
          <w:rFonts w:ascii="Aptos" w:hAnsi="Aptos"/>
          <w:sz w:val="24"/>
          <w:szCs w:val="24"/>
        </w:rPr>
        <w:t xml:space="preserve">serves as a practical guide to help IADC members assess and identify Serious Injury and Fatality (SIF) events and potential events. Its purpose is to strengthen the understanding of what constitutes </w:t>
      </w:r>
      <w:proofErr w:type="gramStart"/>
      <w:r w:rsidRPr="009949F3">
        <w:rPr>
          <w:rFonts w:ascii="Aptos" w:hAnsi="Aptos"/>
          <w:sz w:val="24"/>
          <w:szCs w:val="24"/>
        </w:rPr>
        <w:t>a SIF</w:t>
      </w:r>
      <w:proofErr w:type="gramEnd"/>
      <w:r w:rsidRPr="009949F3">
        <w:rPr>
          <w:rFonts w:ascii="Aptos" w:hAnsi="Aptos"/>
          <w:sz w:val="24"/>
          <w:szCs w:val="24"/>
        </w:rPr>
        <w:t xml:space="preserve"> and to ensure our focus remains on the incidents and exposures that truly have the potential for life-ending/altering outcomes.  It is important to recognize that not all SIFs are created equally</w:t>
      </w:r>
      <w:r w:rsidRPr="009949F3">
        <w:rPr>
          <w:rFonts w:ascii="Aptos" w:hAnsi="Aptos"/>
          <w:b/>
          <w:bCs/>
          <w:sz w:val="24"/>
          <w:szCs w:val="24"/>
        </w:rPr>
        <w:t xml:space="preserve">. </w:t>
      </w:r>
      <w:r w:rsidRPr="009949F3">
        <w:rPr>
          <w:rFonts w:ascii="Aptos" w:hAnsi="Aptos"/>
          <w:sz w:val="24"/>
          <w:szCs w:val="24"/>
        </w:rPr>
        <w:t>The severity potential, exposure frequency, and real-world likelihood of a serious outcome can vary greatly from one event to another. Therefore, this guidance emphasizes a balanced, realistic approach to evaluating SIF potential—one that looks beyond theoretical possibilities and considers real world conditions and context surrounding each event</w:t>
      </w:r>
      <w:bookmarkEnd w:id="2"/>
      <w:r w:rsidR="00DF03BD" w:rsidRPr="009949F3">
        <w:rPr>
          <w:rFonts w:ascii="Aptos" w:hAnsi="Aptos"/>
          <w:sz w:val="24"/>
          <w:szCs w:val="24"/>
        </w:rPr>
        <w:t>.</w:t>
      </w:r>
    </w:p>
    <w:p w14:paraId="172E1A84" w14:textId="3BE34670" w:rsidR="00DF03BD" w:rsidRPr="009949F3" w:rsidRDefault="009949F3" w:rsidP="009949F3">
      <w:pPr>
        <w:pStyle w:val="Body"/>
        <w:spacing w:before="0" w:after="160" w:line="278" w:lineRule="auto"/>
        <w:rPr>
          <w:rFonts w:ascii="Aptos" w:hAnsi="Aptos"/>
          <w:sz w:val="24"/>
          <w:szCs w:val="24"/>
        </w:rPr>
      </w:pPr>
      <w:bookmarkStart w:id="3" w:name="_Hlk221517991"/>
      <w:r w:rsidRPr="009949F3">
        <w:rPr>
          <w:rFonts w:ascii="Aptos" w:hAnsi="Aptos"/>
          <w:sz w:val="24"/>
          <w:szCs w:val="24"/>
        </w:rPr>
        <w:t>By applying this approach, we aim to improve the quality and consistency of SIF reporting, prioritize resources toward the highest-risk scenarios, and continue building a culture that learns from these types of events</w:t>
      </w:r>
      <w:bookmarkEnd w:id="3"/>
      <w:r w:rsidR="00DF03BD" w:rsidRPr="009949F3">
        <w:rPr>
          <w:rFonts w:ascii="Aptos" w:hAnsi="Aptos"/>
          <w:sz w:val="24"/>
          <w:szCs w:val="24"/>
        </w:rPr>
        <w:t xml:space="preserve">. </w:t>
      </w:r>
    </w:p>
    <w:p w14:paraId="5EBC003C" w14:textId="04320C2B" w:rsidR="00DF03BD" w:rsidRPr="009949F3" w:rsidRDefault="009949F3" w:rsidP="009949F3">
      <w:pPr>
        <w:pStyle w:val="Body"/>
        <w:spacing w:before="0" w:after="160" w:line="278" w:lineRule="auto"/>
        <w:rPr>
          <w:rFonts w:ascii="Aptos" w:hAnsi="Aptos"/>
          <w:sz w:val="24"/>
          <w:szCs w:val="24"/>
        </w:rPr>
      </w:pPr>
      <w:bookmarkStart w:id="4" w:name="_Hlk221518001"/>
      <w:r w:rsidRPr="009949F3">
        <w:rPr>
          <w:rFonts w:ascii="Aptos" w:hAnsi="Aptos"/>
          <w:sz w:val="24"/>
          <w:szCs w:val="24"/>
        </w:rPr>
        <w:t xml:space="preserve">The IADC definitions are </w:t>
      </w:r>
      <w:proofErr w:type="gramStart"/>
      <w:r w:rsidRPr="009949F3">
        <w:rPr>
          <w:rFonts w:ascii="Aptos" w:hAnsi="Aptos"/>
          <w:sz w:val="24"/>
          <w:szCs w:val="24"/>
        </w:rPr>
        <w:t>similar to</w:t>
      </w:r>
      <w:proofErr w:type="gramEnd"/>
      <w:r w:rsidRPr="009949F3">
        <w:rPr>
          <w:rFonts w:ascii="Aptos" w:hAnsi="Aptos"/>
          <w:sz w:val="24"/>
          <w:szCs w:val="24"/>
        </w:rPr>
        <w:t xml:space="preserve"> IOGP’s Fatality &amp; Permanent Impairment (FPI) definition to simplify reporting</w:t>
      </w:r>
      <w:bookmarkEnd w:id="4"/>
      <w:r w:rsidR="00DF03BD" w:rsidRPr="009949F3">
        <w:rPr>
          <w:rFonts w:ascii="Aptos" w:hAnsi="Aptos"/>
          <w:sz w:val="24"/>
          <w:szCs w:val="24"/>
        </w:rPr>
        <w:t xml:space="preserve">. </w:t>
      </w:r>
    </w:p>
    <w:p w14:paraId="6CB9C295" w14:textId="26A2CCAE" w:rsidR="00BB650B" w:rsidRPr="00FD1F6D" w:rsidRDefault="009949F3" w:rsidP="00BB650B">
      <w:pPr>
        <w:pStyle w:val="Heading1"/>
        <w:rPr>
          <w:rFonts w:ascii="Aptos" w:hAnsi="Aptos" w:cs="Arial"/>
          <w:szCs w:val="40"/>
        </w:rPr>
      </w:pPr>
      <w:bookmarkStart w:id="5" w:name="_Toc221522600"/>
      <w:r w:rsidRPr="00FD1F6D">
        <w:rPr>
          <w:rFonts w:ascii="Aptos" w:hAnsi="Aptos" w:cs="Arial"/>
          <w:szCs w:val="40"/>
        </w:rPr>
        <w:t xml:space="preserve">What is </w:t>
      </w:r>
      <w:proofErr w:type="gramStart"/>
      <w:r w:rsidRPr="00FD1F6D">
        <w:rPr>
          <w:rFonts w:ascii="Aptos" w:hAnsi="Aptos" w:cs="Arial"/>
          <w:szCs w:val="40"/>
        </w:rPr>
        <w:t>a SIF</w:t>
      </w:r>
      <w:proofErr w:type="gramEnd"/>
      <w:r w:rsidRPr="00FD1F6D">
        <w:rPr>
          <w:rFonts w:ascii="Aptos" w:hAnsi="Aptos" w:cs="Arial"/>
          <w:szCs w:val="40"/>
        </w:rPr>
        <w:t>?</w:t>
      </w:r>
      <w:bookmarkEnd w:id="5"/>
    </w:p>
    <w:p w14:paraId="2D6AB11C" w14:textId="79207D0B" w:rsidR="00BB650B" w:rsidRPr="009949F3" w:rsidRDefault="009949F3" w:rsidP="00BB650B">
      <w:pPr>
        <w:pStyle w:val="Body"/>
        <w:rPr>
          <w:rFonts w:ascii="Aptos" w:hAnsi="Aptos"/>
          <w:sz w:val="24"/>
          <w:szCs w:val="24"/>
        </w:rPr>
      </w:pPr>
      <w:bookmarkStart w:id="6" w:name="_Hlk221518072"/>
      <w:proofErr w:type="gramStart"/>
      <w:r w:rsidRPr="009949F3">
        <w:rPr>
          <w:rFonts w:ascii="Aptos" w:hAnsi="Aptos"/>
          <w:sz w:val="24"/>
          <w:szCs w:val="24"/>
        </w:rPr>
        <w:t>A SIF</w:t>
      </w:r>
      <w:proofErr w:type="gramEnd"/>
      <w:r w:rsidRPr="009949F3">
        <w:rPr>
          <w:rFonts w:ascii="Aptos" w:hAnsi="Aptos"/>
          <w:sz w:val="24"/>
          <w:szCs w:val="24"/>
        </w:rPr>
        <w:t xml:space="preserve"> is an incident that is life-threatening, life-altering, or fatal</w:t>
      </w:r>
      <w:bookmarkEnd w:id="6"/>
      <w:r w:rsidR="00BB650B" w:rsidRPr="009949F3">
        <w:rPr>
          <w:rFonts w:ascii="Aptos" w:hAnsi="Aptos"/>
          <w:sz w:val="24"/>
          <w:szCs w:val="24"/>
        </w:rPr>
        <w:t xml:space="preserve">. </w:t>
      </w:r>
    </w:p>
    <w:p w14:paraId="7119570F" w14:textId="53AFA712" w:rsidR="00BB650B" w:rsidRPr="00FD1F6D" w:rsidRDefault="009949F3" w:rsidP="009949F3">
      <w:pPr>
        <w:pStyle w:val="Heading2"/>
        <w:spacing w:after="120"/>
        <w:ind w:left="734" w:hanging="691"/>
        <w:rPr>
          <w:rFonts w:ascii="Aptos" w:hAnsi="Aptos"/>
          <w:sz w:val="28"/>
          <w:szCs w:val="28"/>
        </w:rPr>
      </w:pPr>
      <w:bookmarkStart w:id="7" w:name="_Toc221522601"/>
      <w:r w:rsidRPr="00FD1F6D">
        <w:rPr>
          <w:rFonts w:ascii="Aptos" w:hAnsi="Aptos"/>
          <w:sz w:val="28"/>
          <w:szCs w:val="28"/>
        </w:rPr>
        <w:t>SIF Actual</w:t>
      </w:r>
      <w:bookmarkEnd w:id="7"/>
    </w:p>
    <w:p w14:paraId="5DC6FBF1" w14:textId="617C7495" w:rsidR="009949F3" w:rsidRPr="00FD1F6D" w:rsidRDefault="009949F3" w:rsidP="009949F3">
      <w:pPr>
        <w:pStyle w:val="Body"/>
        <w:spacing w:before="0" w:after="160" w:line="278" w:lineRule="auto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  <w:u w:val="single"/>
        </w:rPr>
        <w:t>Fatal</w:t>
      </w:r>
      <w:r w:rsidRPr="00FD1F6D">
        <w:rPr>
          <w:rFonts w:ascii="Aptos" w:hAnsi="Aptos"/>
          <w:sz w:val="24"/>
          <w:szCs w:val="24"/>
        </w:rPr>
        <w:t xml:space="preserve"> – Work-related fatal injury or illness </w:t>
      </w:r>
    </w:p>
    <w:p w14:paraId="55277B3C" w14:textId="24AC97E5" w:rsidR="009949F3" w:rsidRPr="00FD1F6D" w:rsidRDefault="009949F3" w:rsidP="009949F3">
      <w:pPr>
        <w:pStyle w:val="Body"/>
        <w:spacing w:before="0" w:after="160" w:line="278" w:lineRule="auto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  <w:u w:val="single"/>
        </w:rPr>
        <w:t>Life-Altering</w:t>
      </w:r>
      <w:r w:rsidRPr="00FD1F6D">
        <w:rPr>
          <w:rFonts w:ascii="Aptos" w:hAnsi="Aptos"/>
          <w:sz w:val="24"/>
          <w:szCs w:val="24"/>
        </w:rPr>
        <w:t xml:space="preserve"> – A direct work-related injury outcome that prevents a return to the person’s previous (pre-incident) whole person function </w:t>
      </w:r>
      <w:proofErr w:type="gramStart"/>
      <w:r w:rsidRPr="00FD1F6D">
        <w:rPr>
          <w:rFonts w:ascii="Aptos" w:hAnsi="Aptos"/>
          <w:sz w:val="24"/>
          <w:szCs w:val="24"/>
        </w:rPr>
        <w:t>as a result of</w:t>
      </w:r>
      <w:proofErr w:type="gramEnd"/>
      <w:r w:rsidRPr="00FD1F6D">
        <w:rPr>
          <w:rFonts w:ascii="Aptos" w:hAnsi="Aptos"/>
          <w:sz w:val="24"/>
          <w:szCs w:val="24"/>
        </w:rPr>
        <w:t xml:space="preserve"> an acute, single incident resulting in any of the following:</w:t>
      </w:r>
    </w:p>
    <w:p w14:paraId="04EF2B77" w14:textId="79AD3CE0" w:rsidR="00BB650B" w:rsidRPr="00FD1F6D" w:rsidRDefault="0078076A" w:rsidP="00FD1F6D">
      <w:pPr>
        <w:pStyle w:val="Body"/>
        <w:numPr>
          <w:ilvl w:val="0"/>
          <w:numId w:val="8"/>
        </w:numPr>
        <w:ind w:left="45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Permanent loss of body parts</w:t>
      </w:r>
    </w:p>
    <w:p w14:paraId="6F966B37" w14:textId="77777777" w:rsidR="0078076A" w:rsidRPr="00FD1F6D" w:rsidRDefault="0078076A" w:rsidP="00FD1F6D">
      <w:pPr>
        <w:pStyle w:val="Body"/>
        <w:numPr>
          <w:ilvl w:val="1"/>
          <w:numId w:val="8"/>
        </w:numPr>
        <w:ind w:left="99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 xml:space="preserve">Amputations </w:t>
      </w:r>
    </w:p>
    <w:p w14:paraId="149C42B2" w14:textId="383BC31C" w:rsidR="0078076A" w:rsidRPr="00FD1F6D" w:rsidRDefault="0078076A" w:rsidP="00FD1F6D">
      <w:pPr>
        <w:pStyle w:val="Body"/>
        <w:numPr>
          <w:ilvl w:val="2"/>
          <w:numId w:val="8"/>
        </w:numPr>
        <w:ind w:left="153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Amputations (involving bone) excludes distal phalanx.</w:t>
      </w:r>
    </w:p>
    <w:p w14:paraId="77360F66" w14:textId="77777777" w:rsidR="0078076A" w:rsidRPr="00FD1F6D" w:rsidRDefault="0078076A" w:rsidP="00FD1F6D">
      <w:pPr>
        <w:pStyle w:val="NormalWeb"/>
        <w:numPr>
          <w:ilvl w:val="2"/>
          <w:numId w:val="8"/>
        </w:numPr>
        <w:ind w:left="1530"/>
        <w:rPr>
          <w:rFonts w:ascii="Aptos" w:hAnsi="Aptos"/>
        </w:rPr>
      </w:pPr>
      <w:r w:rsidRPr="00FD1F6D">
        <w:rPr>
          <w:rFonts w:ascii="Aptos" w:hAnsi="Aptos"/>
        </w:rPr>
        <w:t>Excludes distal phalanx unless thumb, index or great toe.</w:t>
      </w:r>
    </w:p>
    <w:p w14:paraId="57A0CCCA" w14:textId="6FF9A82C" w:rsidR="0078076A" w:rsidRPr="00FD1F6D" w:rsidRDefault="0078076A" w:rsidP="00FD1F6D">
      <w:pPr>
        <w:pStyle w:val="Body"/>
        <w:numPr>
          <w:ilvl w:val="2"/>
          <w:numId w:val="8"/>
        </w:numPr>
        <w:ind w:left="153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Frequently Asked Questions</w:t>
      </w:r>
    </w:p>
    <w:p w14:paraId="5264838F" w14:textId="742757E1" w:rsidR="0078076A" w:rsidRPr="00FD1F6D" w:rsidRDefault="0078076A" w:rsidP="00FD1F6D">
      <w:pPr>
        <w:pStyle w:val="Body"/>
        <w:numPr>
          <w:ilvl w:val="3"/>
          <w:numId w:val="8"/>
        </w:numPr>
        <w:ind w:left="207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 xml:space="preserve">Q: </w:t>
      </w:r>
      <w:bookmarkStart w:id="8" w:name="_Hlk221520357"/>
      <w:bookmarkStart w:id="9" w:name="_Hlk221520379"/>
      <w:r w:rsidRPr="00FD1F6D">
        <w:rPr>
          <w:rFonts w:ascii="Aptos" w:hAnsi="Aptos"/>
          <w:sz w:val="24"/>
          <w:szCs w:val="24"/>
        </w:rPr>
        <w:t xml:space="preserve">If the amputation of a distal phalanx includes more than one </w:t>
      </w:r>
      <w:bookmarkEnd w:id="8"/>
      <w:r w:rsidRPr="00FD1F6D">
        <w:rPr>
          <w:rFonts w:ascii="Aptos" w:hAnsi="Aptos"/>
          <w:sz w:val="24"/>
          <w:szCs w:val="24"/>
        </w:rPr>
        <w:t xml:space="preserve">finger that is not a thumb or index finger, would this be considered </w:t>
      </w:r>
      <w:proofErr w:type="gramStart"/>
      <w:r w:rsidRPr="00FD1F6D">
        <w:rPr>
          <w:rFonts w:ascii="Aptos" w:hAnsi="Aptos"/>
          <w:sz w:val="24"/>
          <w:szCs w:val="24"/>
        </w:rPr>
        <w:t>a SIF</w:t>
      </w:r>
      <w:bookmarkEnd w:id="9"/>
      <w:proofErr w:type="gramEnd"/>
      <w:r w:rsidRPr="00FD1F6D">
        <w:rPr>
          <w:rFonts w:ascii="Aptos" w:hAnsi="Aptos"/>
          <w:sz w:val="24"/>
          <w:szCs w:val="24"/>
        </w:rPr>
        <w:t>?</w:t>
      </w:r>
    </w:p>
    <w:p w14:paraId="0D754723" w14:textId="10A5AFCD" w:rsidR="0078076A" w:rsidRPr="00FD1F6D" w:rsidRDefault="0078076A" w:rsidP="00FD1F6D">
      <w:pPr>
        <w:pStyle w:val="Body"/>
        <w:numPr>
          <w:ilvl w:val="3"/>
          <w:numId w:val="8"/>
        </w:numPr>
        <w:ind w:left="207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 xml:space="preserve">A: </w:t>
      </w:r>
      <w:bookmarkStart w:id="10" w:name="_Hlk221520396"/>
      <w:r w:rsidRPr="00FD1F6D">
        <w:rPr>
          <w:rFonts w:ascii="Aptos" w:hAnsi="Aptos"/>
          <w:sz w:val="24"/>
          <w:szCs w:val="24"/>
        </w:rPr>
        <w:t>No, the multiple amputation of distal phalanges would not count as a SIF unless it included the thumb or index finger. On the foot, it would not count unless it included the great toe</w:t>
      </w:r>
      <w:bookmarkEnd w:id="10"/>
      <w:r w:rsidRPr="00FD1F6D">
        <w:rPr>
          <w:rFonts w:ascii="Aptos" w:hAnsi="Aptos"/>
          <w:sz w:val="24"/>
          <w:szCs w:val="24"/>
        </w:rPr>
        <w:t>.</w:t>
      </w:r>
    </w:p>
    <w:p w14:paraId="5F90140E" w14:textId="55AC00EE" w:rsidR="0078076A" w:rsidRPr="00FD1F6D" w:rsidRDefault="0078076A" w:rsidP="00FD1F6D">
      <w:pPr>
        <w:pStyle w:val="Body"/>
        <w:numPr>
          <w:ilvl w:val="1"/>
          <w:numId w:val="8"/>
        </w:numPr>
        <w:ind w:left="99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lastRenderedPageBreak/>
        <w:t>Loss of eye(s)</w:t>
      </w:r>
    </w:p>
    <w:p w14:paraId="38A66AE4" w14:textId="77777777" w:rsidR="0078076A" w:rsidRPr="00FD1F6D" w:rsidRDefault="0078076A" w:rsidP="00FD1F6D">
      <w:pPr>
        <w:pStyle w:val="Body"/>
        <w:numPr>
          <w:ilvl w:val="1"/>
          <w:numId w:val="8"/>
        </w:numPr>
        <w:ind w:left="99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 xml:space="preserve">Loss of internal organs e.g. kidney, spleen </w:t>
      </w:r>
    </w:p>
    <w:p w14:paraId="635F8CA9" w14:textId="77777777" w:rsidR="0078076A" w:rsidRPr="00FD1F6D" w:rsidRDefault="0078076A" w:rsidP="00FD1F6D">
      <w:pPr>
        <w:pStyle w:val="Body"/>
        <w:numPr>
          <w:ilvl w:val="1"/>
          <w:numId w:val="8"/>
        </w:numPr>
        <w:ind w:left="99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Loss of facial structures, for example: nose, ears, leading to disfigurement</w:t>
      </w:r>
    </w:p>
    <w:p w14:paraId="63A41572" w14:textId="77777777" w:rsidR="0078076A" w:rsidRPr="00FD1F6D" w:rsidRDefault="0078076A" w:rsidP="00FD1F6D">
      <w:pPr>
        <w:pStyle w:val="Body"/>
        <w:numPr>
          <w:ilvl w:val="1"/>
          <w:numId w:val="8"/>
        </w:numPr>
        <w:ind w:left="99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Loss of genitalia or other sexual organs</w:t>
      </w:r>
    </w:p>
    <w:p w14:paraId="28D79F64" w14:textId="77777777" w:rsidR="0078076A" w:rsidRPr="00FD1F6D" w:rsidRDefault="0078076A" w:rsidP="00FD1F6D">
      <w:pPr>
        <w:pStyle w:val="Body"/>
        <w:numPr>
          <w:ilvl w:val="1"/>
          <w:numId w:val="8"/>
        </w:numPr>
        <w:ind w:left="99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Successful use of limb prosthesis to improve function does not negate a permanent impairment definition.</w:t>
      </w:r>
    </w:p>
    <w:p w14:paraId="730A8529" w14:textId="77777777" w:rsidR="0078076A" w:rsidRPr="00FD1F6D" w:rsidRDefault="0078076A" w:rsidP="00FD1F6D">
      <w:pPr>
        <w:pStyle w:val="Body"/>
        <w:numPr>
          <w:ilvl w:val="1"/>
          <w:numId w:val="8"/>
        </w:numPr>
        <w:ind w:left="99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Permanent reduction of organ’s physiological function</w:t>
      </w:r>
    </w:p>
    <w:p w14:paraId="75A35AD2" w14:textId="77777777" w:rsidR="0078076A" w:rsidRPr="00FD1F6D" w:rsidRDefault="0078076A" w:rsidP="00FD1F6D">
      <w:pPr>
        <w:pStyle w:val="Body"/>
        <w:numPr>
          <w:ilvl w:val="1"/>
          <w:numId w:val="8"/>
        </w:numPr>
        <w:ind w:left="99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 xml:space="preserve"> Permanent reduction in skin and musculoskeletal function</w:t>
      </w:r>
    </w:p>
    <w:p w14:paraId="16E01DE8" w14:textId="77777777" w:rsidR="0078076A" w:rsidRPr="00FD1F6D" w:rsidRDefault="0078076A" w:rsidP="00FD1F6D">
      <w:pPr>
        <w:pStyle w:val="Body"/>
        <w:numPr>
          <w:ilvl w:val="1"/>
          <w:numId w:val="8"/>
        </w:numPr>
        <w:ind w:left="99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Permanent reduction in cognitive function</w:t>
      </w:r>
    </w:p>
    <w:p w14:paraId="71EBB228" w14:textId="2EE80B40" w:rsidR="0078076A" w:rsidRPr="00FD1F6D" w:rsidRDefault="0078076A" w:rsidP="00FD1F6D">
      <w:pPr>
        <w:pStyle w:val="Body"/>
        <w:numPr>
          <w:ilvl w:val="1"/>
          <w:numId w:val="8"/>
        </w:numPr>
        <w:ind w:left="99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Brain injury with ongoing impact to emotional regulation, speech, memory, or another cognitive dysfunction</w:t>
      </w:r>
    </w:p>
    <w:p w14:paraId="6A264BD5" w14:textId="55981267" w:rsidR="0078076A" w:rsidRPr="00FD1F6D" w:rsidRDefault="0078076A" w:rsidP="0078076A">
      <w:pPr>
        <w:pStyle w:val="Body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On a case-by-case basis, when diagnosis of permanent impairment is unclear, a medical professional opinion should be used to determine permanent impairment.</w:t>
      </w:r>
    </w:p>
    <w:p w14:paraId="563C556B" w14:textId="77777777" w:rsidR="00FD1F6D" w:rsidRPr="00FD1F6D" w:rsidRDefault="00FD1F6D" w:rsidP="00FD1F6D">
      <w:pPr>
        <w:pStyle w:val="Body"/>
        <w:numPr>
          <w:ilvl w:val="0"/>
          <w:numId w:val="44"/>
        </w:numPr>
        <w:ind w:left="45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Eye injury with loss of vision</w:t>
      </w:r>
    </w:p>
    <w:p w14:paraId="63A5BCD1" w14:textId="34A4773E" w:rsidR="00FD1F6D" w:rsidRPr="00FD1F6D" w:rsidRDefault="00FD1F6D" w:rsidP="00FD1F6D">
      <w:pPr>
        <w:pStyle w:val="Body"/>
        <w:numPr>
          <w:ilvl w:val="0"/>
          <w:numId w:val="44"/>
        </w:numPr>
        <w:ind w:left="45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Bowel injury requiring permanent stoma</w:t>
      </w:r>
    </w:p>
    <w:p w14:paraId="68497AAF" w14:textId="3B11CAF9" w:rsidR="00FD1F6D" w:rsidRPr="00FD1F6D" w:rsidRDefault="00FD1F6D" w:rsidP="00FD1F6D">
      <w:pPr>
        <w:pStyle w:val="Body"/>
        <w:numPr>
          <w:ilvl w:val="0"/>
          <w:numId w:val="44"/>
        </w:numPr>
        <w:ind w:left="45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Spinal injury requiring use of wheelchair</w:t>
      </w:r>
    </w:p>
    <w:p w14:paraId="65F486D4" w14:textId="3D993EFA" w:rsidR="00FD1F6D" w:rsidRPr="00FD1F6D" w:rsidRDefault="00FD1F6D" w:rsidP="00FD1F6D">
      <w:pPr>
        <w:pStyle w:val="Body"/>
        <w:numPr>
          <w:ilvl w:val="0"/>
          <w:numId w:val="44"/>
        </w:numPr>
        <w:ind w:left="45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Brain injury causing epilepsy (recurrent seizures)</w:t>
      </w:r>
    </w:p>
    <w:p w14:paraId="70E56B7F" w14:textId="44049545" w:rsidR="00FD1F6D" w:rsidRPr="00FD1F6D" w:rsidRDefault="00FD1F6D" w:rsidP="00FD1F6D">
      <w:pPr>
        <w:pStyle w:val="Body"/>
        <w:numPr>
          <w:ilvl w:val="0"/>
          <w:numId w:val="44"/>
        </w:numPr>
        <w:ind w:left="45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Heart injury with impaired exertion tolerance / measurable loss of function</w:t>
      </w:r>
    </w:p>
    <w:p w14:paraId="2C59EA56" w14:textId="5811060E" w:rsidR="00FD1F6D" w:rsidRPr="00FD1F6D" w:rsidRDefault="00FD1F6D" w:rsidP="00FD1F6D">
      <w:pPr>
        <w:pStyle w:val="Body"/>
        <w:numPr>
          <w:ilvl w:val="0"/>
          <w:numId w:val="44"/>
        </w:numPr>
        <w:ind w:left="45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 xml:space="preserve">Lung injury, including inhalation, with impaired exertion tolerance/measurable loss of function. </w:t>
      </w:r>
    </w:p>
    <w:p w14:paraId="107FC12F" w14:textId="5B9D5001" w:rsidR="00FD1F6D" w:rsidRPr="00FD1F6D" w:rsidRDefault="00FD1F6D" w:rsidP="00FD1F6D">
      <w:pPr>
        <w:pStyle w:val="Body"/>
        <w:numPr>
          <w:ilvl w:val="0"/>
          <w:numId w:val="44"/>
        </w:numPr>
        <w:ind w:left="45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Loss of smell that creates a safety concern or significant personal impact</w:t>
      </w:r>
    </w:p>
    <w:p w14:paraId="1022D6AF" w14:textId="22F38370" w:rsidR="00FD1F6D" w:rsidRPr="00FD1F6D" w:rsidRDefault="00FD1F6D" w:rsidP="00FD1F6D">
      <w:pPr>
        <w:pStyle w:val="Body"/>
        <w:numPr>
          <w:ilvl w:val="0"/>
          <w:numId w:val="44"/>
        </w:numPr>
        <w:ind w:left="45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Loss of hearing or persistent tinnitus (ear ringing) post injury after exposure to a blast</w:t>
      </w:r>
    </w:p>
    <w:p w14:paraId="2392AA4E" w14:textId="4FDCCD18" w:rsidR="00FD1F6D" w:rsidRPr="00FD1F6D" w:rsidRDefault="00FD1F6D" w:rsidP="00FD1F6D">
      <w:pPr>
        <w:pStyle w:val="Body"/>
        <w:numPr>
          <w:ilvl w:val="0"/>
          <w:numId w:val="44"/>
        </w:numPr>
        <w:ind w:left="45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Post injury complex pain disorders with uncontrolled pain and/or disrupted nerve and musculoskeletal function</w:t>
      </w:r>
    </w:p>
    <w:p w14:paraId="11645FD0" w14:textId="68350D7E" w:rsidR="0078076A" w:rsidRPr="00FD1F6D" w:rsidRDefault="00FD1F6D" w:rsidP="00FD1F6D">
      <w:pPr>
        <w:pStyle w:val="Body"/>
        <w:numPr>
          <w:ilvl w:val="0"/>
          <w:numId w:val="44"/>
        </w:numPr>
        <w:ind w:left="450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Genital or other sexual organ injury leading to loss of function</w:t>
      </w:r>
    </w:p>
    <w:p w14:paraId="77EF78D1" w14:textId="79D7EC9F" w:rsidR="00B42678" w:rsidRPr="00FD1F6D" w:rsidRDefault="009949F3" w:rsidP="00B42678">
      <w:pPr>
        <w:pStyle w:val="Heading2"/>
        <w:rPr>
          <w:rFonts w:ascii="Aptos" w:hAnsi="Aptos"/>
          <w:sz w:val="28"/>
          <w:szCs w:val="28"/>
        </w:rPr>
      </w:pPr>
      <w:bookmarkStart w:id="11" w:name="_Toc221522602"/>
      <w:r w:rsidRPr="00FD1F6D">
        <w:rPr>
          <w:rFonts w:ascii="Aptos" w:hAnsi="Aptos"/>
          <w:sz w:val="28"/>
          <w:szCs w:val="28"/>
        </w:rPr>
        <w:t>SIF Potential</w:t>
      </w:r>
      <w:bookmarkEnd w:id="11"/>
    </w:p>
    <w:p w14:paraId="60532948" w14:textId="66FF3908" w:rsidR="00B42678" w:rsidRPr="00FD1F6D" w:rsidRDefault="00FD1F6D" w:rsidP="00FD1F6D">
      <w:pPr>
        <w:pStyle w:val="Body"/>
        <w:rPr>
          <w:rFonts w:ascii="Aptos" w:hAnsi="Aptos"/>
          <w:sz w:val="24"/>
          <w:szCs w:val="24"/>
        </w:rPr>
      </w:pPr>
      <w:r w:rsidRPr="00FD1F6D">
        <w:rPr>
          <w:rFonts w:ascii="Aptos" w:hAnsi="Aptos"/>
          <w:sz w:val="24"/>
          <w:szCs w:val="24"/>
        </w:rPr>
        <w:t>An incident or near miss that could have realistically resulted in a fatality or life-altering injury.</w:t>
      </w:r>
    </w:p>
    <w:p w14:paraId="7163883E" w14:textId="45F57450" w:rsidR="00B42678" w:rsidRPr="00EB2F3F" w:rsidRDefault="00FD1F6D" w:rsidP="00B42678">
      <w:pPr>
        <w:pStyle w:val="Body"/>
        <w:rPr>
          <w:rFonts w:ascii="Aptos" w:hAnsi="Aptos"/>
          <w:color w:val="auto"/>
          <w:sz w:val="24"/>
          <w:szCs w:val="24"/>
        </w:rPr>
      </w:pPr>
      <w:bookmarkStart w:id="12" w:name="_Hlk524942089"/>
      <w:r w:rsidRPr="00EB2F3F">
        <w:rPr>
          <w:rFonts w:ascii="Aptos" w:hAnsi="Aptos"/>
          <w:color w:val="auto"/>
          <w:sz w:val="24"/>
          <w:szCs w:val="24"/>
        </w:rPr>
        <w:t xml:space="preserve">While the SIF definition is </w:t>
      </w:r>
      <w:proofErr w:type="gramStart"/>
      <w:r w:rsidRPr="00EB2F3F">
        <w:rPr>
          <w:rFonts w:ascii="Aptos" w:hAnsi="Aptos"/>
          <w:color w:val="auto"/>
          <w:sz w:val="24"/>
          <w:szCs w:val="24"/>
        </w:rPr>
        <w:t>similar to</w:t>
      </w:r>
      <w:proofErr w:type="gramEnd"/>
      <w:r w:rsidRPr="00EB2F3F">
        <w:rPr>
          <w:rFonts w:ascii="Aptos" w:hAnsi="Aptos"/>
          <w:color w:val="auto"/>
          <w:sz w:val="24"/>
          <w:szCs w:val="24"/>
        </w:rPr>
        <w:t xml:space="preserve"> the IOGP FPI definition, users of these SIF definitions should be aware that they do not fully align with the IOGP FPI definition</w:t>
      </w:r>
      <w:r w:rsidR="00B42678" w:rsidRPr="00EB2F3F">
        <w:rPr>
          <w:rFonts w:ascii="Aptos" w:hAnsi="Aptos"/>
          <w:color w:val="auto"/>
          <w:sz w:val="24"/>
          <w:szCs w:val="24"/>
        </w:rPr>
        <w:t>.</w:t>
      </w:r>
    </w:p>
    <w:p w14:paraId="3C9F92FD" w14:textId="1D94AD7E" w:rsidR="00434AD0" w:rsidRPr="00FD1F6D" w:rsidRDefault="009949F3" w:rsidP="00434AD0">
      <w:pPr>
        <w:pStyle w:val="Heading2"/>
        <w:rPr>
          <w:rFonts w:ascii="Aptos" w:hAnsi="Aptos"/>
          <w:sz w:val="28"/>
          <w:szCs w:val="28"/>
        </w:rPr>
      </w:pPr>
      <w:bookmarkStart w:id="13" w:name="_Toc221522603"/>
      <w:bookmarkEnd w:id="12"/>
      <w:r w:rsidRPr="00FD1F6D">
        <w:rPr>
          <w:rFonts w:ascii="Aptos" w:hAnsi="Aptos"/>
          <w:sz w:val="28"/>
          <w:szCs w:val="28"/>
        </w:rPr>
        <w:lastRenderedPageBreak/>
        <w:t>Summary of Key Differences</w:t>
      </w:r>
      <w:bookmarkEnd w:id="13"/>
    </w:p>
    <w:p w14:paraId="343094BC" w14:textId="77777777" w:rsidR="00FD1F6D" w:rsidRPr="00EB2F3F" w:rsidRDefault="00FD1F6D" w:rsidP="00FD1F6D">
      <w:pPr>
        <w:pStyle w:val="NormalWeb"/>
        <w:numPr>
          <w:ilvl w:val="0"/>
          <w:numId w:val="46"/>
        </w:numPr>
        <w:rPr>
          <w:rFonts w:ascii="Aptos" w:hAnsi="Aptos"/>
        </w:rPr>
      </w:pPr>
      <w:bookmarkStart w:id="14" w:name="_Hlk221522474"/>
      <w:r w:rsidRPr="00EB2F3F">
        <w:rPr>
          <w:rFonts w:ascii="Aptos" w:hAnsi="Aptos"/>
        </w:rPr>
        <w:t xml:space="preserve">Excludes mental health conditions, except in cases directly associated with an acute brain injury. </w:t>
      </w:r>
    </w:p>
    <w:p w14:paraId="46C6B30F" w14:textId="77777777" w:rsidR="00FD1F6D" w:rsidRPr="00EB2F3F" w:rsidRDefault="00FD1F6D" w:rsidP="00FD1F6D">
      <w:pPr>
        <w:pStyle w:val="NormalWeb"/>
        <w:numPr>
          <w:ilvl w:val="0"/>
          <w:numId w:val="46"/>
        </w:numPr>
        <w:rPr>
          <w:rFonts w:ascii="Aptos" w:hAnsi="Aptos"/>
        </w:rPr>
      </w:pPr>
      <w:r w:rsidRPr="00EB2F3F">
        <w:rPr>
          <w:rFonts w:ascii="Aptos" w:hAnsi="Aptos"/>
        </w:rPr>
        <w:t>The specific treatment of amputations involving joints other than the thumb, index finger, or great toe</w:t>
      </w:r>
      <w:bookmarkEnd w:id="14"/>
      <w:r w:rsidRPr="00EB2F3F">
        <w:rPr>
          <w:rFonts w:ascii="Aptos" w:hAnsi="Aptos"/>
        </w:rPr>
        <w:t>.</w:t>
      </w:r>
    </w:p>
    <w:p w14:paraId="4FD01A38" w14:textId="143F2EBF" w:rsidR="00FD1F6D" w:rsidRPr="00EB2F3F" w:rsidRDefault="00FD1F6D" w:rsidP="00FD1F6D">
      <w:pPr>
        <w:pStyle w:val="NormalWeb"/>
        <w:numPr>
          <w:ilvl w:val="1"/>
          <w:numId w:val="46"/>
        </w:numPr>
        <w:rPr>
          <w:rFonts w:ascii="Aptos" w:hAnsi="Aptos"/>
        </w:rPr>
      </w:pPr>
      <w:r w:rsidRPr="00EB2F3F">
        <w:rPr>
          <w:rFonts w:ascii="Aptos" w:hAnsi="Aptos"/>
        </w:rPr>
        <w:t xml:space="preserve">While such injuries can have lasting effects on affected employees, they are not considered life-threatening </w:t>
      </w:r>
      <w:proofErr w:type="gramStart"/>
      <w:r w:rsidRPr="00EB2F3F">
        <w:rPr>
          <w:rFonts w:ascii="Aptos" w:hAnsi="Aptos"/>
        </w:rPr>
        <w:t>or as</w:t>
      </w:r>
      <w:proofErr w:type="gramEnd"/>
      <w:r w:rsidRPr="00EB2F3F">
        <w:rPr>
          <w:rFonts w:ascii="Aptos" w:hAnsi="Aptos"/>
        </w:rPr>
        <w:t xml:space="preserve"> </w:t>
      </w:r>
      <w:proofErr w:type="gramStart"/>
      <w:r w:rsidRPr="00EB2F3F">
        <w:rPr>
          <w:rFonts w:ascii="Aptos" w:hAnsi="Aptos"/>
        </w:rPr>
        <w:t>having</w:t>
      </w:r>
      <w:proofErr w:type="gramEnd"/>
      <w:r w:rsidRPr="00EB2F3F">
        <w:rPr>
          <w:rFonts w:ascii="Aptos" w:hAnsi="Aptos"/>
        </w:rPr>
        <w:t xml:space="preserve"> a significant long-term impact on overall quality of life under these definitions.</w:t>
      </w:r>
    </w:p>
    <w:p w14:paraId="50FD9698" w14:textId="77777777" w:rsidR="00FD1F6D" w:rsidRPr="00EB2F3F" w:rsidRDefault="00FD1F6D" w:rsidP="00FD1F6D">
      <w:pPr>
        <w:pStyle w:val="NormalWeb"/>
        <w:numPr>
          <w:ilvl w:val="0"/>
          <w:numId w:val="46"/>
        </w:numPr>
        <w:rPr>
          <w:rFonts w:ascii="Aptos" w:hAnsi="Aptos"/>
        </w:rPr>
      </w:pPr>
      <w:r w:rsidRPr="00EB2F3F">
        <w:rPr>
          <w:rFonts w:ascii="Aptos" w:hAnsi="Aptos"/>
        </w:rPr>
        <w:t xml:space="preserve">The absence of a 180-day return-to-work criterion. </w:t>
      </w:r>
    </w:p>
    <w:p w14:paraId="47019043" w14:textId="286F4D84" w:rsidR="000D4C0D" w:rsidRPr="00EB2F3F" w:rsidRDefault="00FD1F6D" w:rsidP="00FD1F6D">
      <w:pPr>
        <w:pStyle w:val="NormalWeb"/>
        <w:numPr>
          <w:ilvl w:val="1"/>
          <w:numId w:val="46"/>
        </w:numPr>
        <w:rPr>
          <w:rFonts w:ascii="Aptos" w:hAnsi="Aptos"/>
        </w:rPr>
      </w:pPr>
      <w:r w:rsidRPr="00EB2F3F">
        <w:rPr>
          <w:rFonts w:ascii="Aptos" w:hAnsi="Aptos"/>
        </w:rPr>
        <w:t>This exclusion reflects the recognition that an employee’s ability to return to work is often influenced by multiple factors unrelated to the actual severity of the injury.</w:t>
      </w:r>
    </w:p>
    <w:sectPr w:rsidR="000D4C0D" w:rsidRPr="00EB2F3F" w:rsidSect="005E07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4F69" w14:textId="77777777" w:rsidR="00133D80" w:rsidRDefault="00133D80">
      <w:r>
        <w:separator/>
      </w:r>
    </w:p>
  </w:endnote>
  <w:endnote w:type="continuationSeparator" w:id="0">
    <w:p w14:paraId="70B98865" w14:textId="77777777" w:rsidR="00133D80" w:rsidRDefault="0013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E82A" w14:textId="77777777" w:rsidR="00E51E03" w:rsidRDefault="00E51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DD00" w14:textId="74ADCA39" w:rsidR="003C734F" w:rsidRPr="002F3E83" w:rsidRDefault="009949F3" w:rsidP="00F96C27">
    <w:pPr>
      <w:tabs>
        <w:tab w:val="right" w:pos="8280"/>
      </w:tabs>
      <w:rPr>
        <w:rFonts w:asciiTheme="minorHAnsi" w:eastAsiaTheme="minorEastAsia" w:hAnsiTheme="minorHAnsi" w:cstheme="minorBidi"/>
        <w:sz w:val="18"/>
        <w:szCs w:val="18"/>
      </w:rPr>
    </w:pPr>
    <w:r>
      <w:rPr>
        <w:rFonts w:asciiTheme="minorHAnsi" w:eastAsiaTheme="minorEastAsia" w:hAnsiTheme="minorHAnsi" w:cstheme="minorBidi"/>
        <w:sz w:val="18"/>
        <w:szCs w:val="18"/>
      </w:rPr>
      <w:t>09 February 2026</w:t>
    </w:r>
    <w:r w:rsidR="003C734F" w:rsidRPr="002F3E83">
      <w:rPr>
        <w:rFonts w:asciiTheme="minorHAnsi" w:eastAsiaTheme="minorEastAsia" w:hAnsiTheme="minorHAnsi" w:cstheme="minorBidi"/>
        <w:sz w:val="18"/>
        <w:szCs w:val="18"/>
      </w:rPr>
      <w:tab/>
      <w:t xml:space="preserve">Page </w:t>
    </w:r>
    <w:r w:rsidR="003C734F" w:rsidRPr="002F3E83">
      <w:rPr>
        <w:rFonts w:asciiTheme="minorHAnsi" w:eastAsiaTheme="minorEastAsia" w:hAnsiTheme="minorHAnsi" w:cstheme="minorBidi"/>
        <w:sz w:val="18"/>
        <w:szCs w:val="18"/>
      </w:rPr>
      <w:fldChar w:fldCharType="begin"/>
    </w:r>
    <w:r w:rsidR="003C734F" w:rsidRPr="002F3E83">
      <w:rPr>
        <w:rFonts w:asciiTheme="minorHAnsi" w:eastAsiaTheme="minorEastAsia" w:hAnsiTheme="minorHAnsi" w:cstheme="minorBidi"/>
        <w:sz w:val="18"/>
        <w:szCs w:val="18"/>
      </w:rPr>
      <w:instrText xml:space="preserve"> PAGE  \* Arabic  \* MERGEFORMAT </w:instrText>
    </w:r>
    <w:r w:rsidR="003C734F" w:rsidRPr="002F3E83">
      <w:rPr>
        <w:rFonts w:asciiTheme="minorHAnsi" w:eastAsiaTheme="minorEastAsia" w:hAnsiTheme="minorHAnsi" w:cstheme="minorBidi"/>
        <w:sz w:val="18"/>
        <w:szCs w:val="18"/>
      </w:rPr>
      <w:fldChar w:fldCharType="separate"/>
    </w:r>
    <w:r w:rsidR="003C734F" w:rsidRPr="002F3E83">
      <w:rPr>
        <w:rFonts w:asciiTheme="minorHAnsi" w:eastAsiaTheme="minorEastAsia" w:hAnsiTheme="minorHAnsi" w:cstheme="minorBidi"/>
        <w:sz w:val="18"/>
        <w:szCs w:val="18"/>
      </w:rPr>
      <w:t>5</w:t>
    </w:r>
    <w:r w:rsidR="003C734F" w:rsidRPr="002F3E83">
      <w:rPr>
        <w:rFonts w:asciiTheme="minorHAnsi" w:eastAsiaTheme="minorEastAsia" w:hAnsiTheme="minorHAnsi" w:cstheme="minorBidi"/>
        <w:sz w:val="18"/>
        <w:szCs w:val="18"/>
      </w:rPr>
      <w:fldChar w:fldCharType="end"/>
    </w:r>
    <w:r w:rsidR="003C734F" w:rsidRPr="002F3E83">
      <w:rPr>
        <w:rFonts w:asciiTheme="minorHAnsi" w:eastAsiaTheme="minorEastAsia" w:hAnsiTheme="minorHAnsi" w:cstheme="minorBidi"/>
        <w:sz w:val="18"/>
        <w:szCs w:val="18"/>
      </w:rPr>
      <w:t xml:space="preserve"> of </w:t>
    </w:r>
    <w:r w:rsidR="00FD1F6D">
      <w:rPr>
        <w:rFonts w:asciiTheme="minorHAnsi" w:eastAsiaTheme="minorEastAsia" w:hAnsiTheme="minorHAnsi" w:cstheme="minorBidi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8D1A" w14:textId="7342F77F" w:rsidR="003C734F" w:rsidRDefault="009949F3">
    <w:pPr>
      <w:pStyle w:val="Footer"/>
    </w:pPr>
    <w:r>
      <w:rPr>
        <w:noProof/>
      </w:rPr>
      <w:drawing>
        <wp:anchor distT="0" distB="0" distL="0" distR="0" simplePos="0" relativeHeight="251663360" behindDoc="0" locked="0" layoutInCell="1" allowOverlap="1" wp14:anchorId="6B1DCA3B" wp14:editId="53E30F8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58428" cy="19856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8428" cy="198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F6B5" w14:textId="77777777" w:rsidR="00133D80" w:rsidRDefault="00133D80">
      <w:r>
        <w:separator/>
      </w:r>
    </w:p>
  </w:footnote>
  <w:footnote w:type="continuationSeparator" w:id="0">
    <w:p w14:paraId="28C8DCB4" w14:textId="77777777" w:rsidR="00133D80" w:rsidRDefault="0013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8962" w14:textId="4C23A007" w:rsidR="00E51E03" w:rsidRDefault="00E51E03">
    <w:pPr>
      <w:pStyle w:val="Header"/>
    </w:pPr>
    <w:r>
      <w:rPr>
        <w:noProof/>
      </w:rPr>
      <w:pict w14:anchorId="2E4946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537485" o:spid="_x0000_s1029" type="#_x0000_t136" style="position:absolute;margin-left:0;margin-top:0;width:412.4pt;height:247.45pt;rotation:315;z-index:-25164697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C8EC" w14:textId="778465E5" w:rsidR="003C734F" w:rsidRPr="00EA25B0" w:rsidRDefault="00E51E03" w:rsidP="00BB650B">
    <w:pPr>
      <w:pBdr>
        <w:bottom w:val="single" w:sz="4" w:space="1" w:color="auto"/>
      </w:pBdr>
      <w:spacing w:after="280"/>
      <w:rPr>
        <w:rFonts w:ascii="Arial" w:hAnsi="Arial" w:cs="Arial"/>
        <w:sz w:val="22"/>
        <w:szCs w:val="22"/>
      </w:rPr>
    </w:pPr>
    <w:r>
      <w:rPr>
        <w:noProof/>
      </w:rPr>
      <w:pict w14:anchorId="1E77DD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537486" o:spid="_x0000_s1030" type="#_x0000_t136" style="position:absolute;margin-left:0;margin-top:0;width:412.4pt;height:247.45pt;rotation:315;z-index:-25164492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DRAFT"/>
        </v:shape>
      </w:pict>
    </w:r>
    <w:r w:rsidR="009949F3">
      <w:rPr>
        <w:noProof/>
      </w:rPr>
      <w:drawing>
        <wp:anchor distT="0" distB="0" distL="0" distR="0" simplePos="0" relativeHeight="251665408" behindDoc="1" locked="0" layoutInCell="1" allowOverlap="1" wp14:anchorId="73526641" wp14:editId="02B061F4">
          <wp:simplePos x="0" y="0"/>
          <wp:positionH relativeFrom="page">
            <wp:posOffset>4913354</wp:posOffset>
          </wp:positionH>
          <wp:positionV relativeFrom="page">
            <wp:posOffset>210129</wp:posOffset>
          </wp:positionV>
          <wp:extent cx="1942579" cy="582294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2579" cy="582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49F3">
      <w:rPr>
        <w:rFonts w:ascii="Arial" w:hAnsi="Arial" w:cs="Arial"/>
        <w:sz w:val="22"/>
        <w:szCs w:val="22"/>
      </w:rPr>
      <w:br/>
      <w:t>Definition of a Serious Injury and Fatality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D4CF" w14:textId="0109A402" w:rsidR="00E51E03" w:rsidRDefault="00E51E03">
    <w:pPr>
      <w:pStyle w:val="Header"/>
    </w:pPr>
    <w:r>
      <w:rPr>
        <w:noProof/>
      </w:rPr>
      <w:pict w14:anchorId="64695A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537484" o:spid="_x0000_s1028" type="#_x0000_t136" style="position:absolute;margin-left:0;margin-top:0;width:412.4pt;height:247.45pt;rotation:315;z-index:-251649024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5D"/>
    <w:multiLevelType w:val="hybridMultilevel"/>
    <w:tmpl w:val="762E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6185"/>
    <w:multiLevelType w:val="singleLevel"/>
    <w:tmpl w:val="0409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F465C3"/>
    <w:multiLevelType w:val="hybridMultilevel"/>
    <w:tmpl w:val="62B65B94"/>
    <w:lvl w:ilvl="0" w:tplc="04090001">
      <w:start w:val="1"/>
      <w:numFmt w:val="bullet"/>
      <w:pStyle w:val="Bulletwith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29416D"/>
    <w:multiLevelType w:val="hybridMultilevel"/>
    <w:tmpl w:val="60D8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B0181"/>
    <w:multiLevelType w:val="hybridMultilevel"/>
    <w:tmpl w:val="AB00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0393E"/>
    <w:multiLevelType w:val="hybridMultilevel"/>
    <w:tmpl w:val="842A9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44515"/>
    <w:multiLevelType w:val="hybridMultilevel"/>
    <w:tmpl w:val="84D8EA8C"/>
    <w:lvl w:ilvl="0" w:tplc="7B26C946">
      <w:start w:val="1"/>
      <w:numFmt w:val="decimal"/>
      <w:lvlText w:val="%1."/>
      <w:lvlJc w:val="left"/>
      <w:pPr>
        <w:ind w:left="1440" w:hanging="360"/>
      </w:pPr>
      <w:rPr>
        <w:rFonts w:asciiTheme="majorHAnsi" w:eastAsia="Times New Roman" w:hAnsiTheme="majorHAnsi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B03AF"/>
    <w:multiLevelType w:val="hybridMultilevel"/>
    <w:tmpl w:val="25FE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054B9"/>
    <w:multiLevelType w:val="hybridMultilevel"/>
    <w:tmpl w:val="F646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47562"/>
    <w:multiLevelType w:val="hybridMultilevel"/>
    <w:tmpl w:val="138C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80ECB"/>
    <w:multiLevelType w:val="hybridMultilevel"/>
    <w:tmpl w:val="7FEE3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037C4"/>
    <w:multiLevelType w:val="hybridMultilevel"/>
    <w:tmpl w:val="25E0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2234F"/>
    <w:multiLevelType w:val="hybridMultilevel"/>
    <w:tmpl w:val="7AD6D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03238"/>
    <w:multiLevelType w:val="hybridMultilevel"/>
    <w:tmpl w:val="BA945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62749F"/>
    <w:multiLevelType w:val="hybridMultilevel"/>
    <w:tmpl w:val="965A7CC0"/>
    <w:lvl w:ilvl="0" w:tplc="3244E994">
      <w:start w:val="1"/>
      <w:numFmt w:val="decimal"/>
      <w:lvlText w:val="%1."/>
      <w:lvlJc w:val="left"/>
      <w:pPr>
        <w:ind w:left="1440" w:hanging="360"/>
      </w:pPr>
      <w:rPr>
        <w:rFonts w:asciiTheme="majorHAnsi" w:eastAsia="Times New Roman" w:hAnsiTheme="majorHAnsi" w:cs="Times New Roman"/>
      </w:rPr>
    </w:lvl>
    <w:lvl w:ilvl="1" w:tplc="F79A8CE6">
      <w:start w:val="1"/>
      <w:numFmt w:val="decimal"/>
      <w:lvlText w:val="%2."/>
      <w:lvlJc w:val="left"/>
      <w:pPr>
        <w:ind w:left="2160" w:hanging="360"/>
      </w:pPr>
      <w:rPr>
        <w:rFonts w:asciiTheme="majorHAnsi" w:eastAsia="Times New Roman" w:hAnsiTheme="majorHAnsi" w:cs="Times New Roman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C35194"/>
    <w:multiLevelType w:val="hybridMultilevel"/>
    <w:tmpl w:val="B91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1399F"/>
    <w:multiLevelType w:val="hybridMultilevel"/>
    <w:tmpl w:val="9B04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B125D"/>
    <w:multiLevelType w:val="hybridMultilevel"/>
    <w:tmpl w:val="52783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C11FE"/>
    <w:multiLevelType w:val="hybridMultilevel"/>
    <w:tmpl w:val="5C6E3C48"/>
    <w:lvl w:ilvl="0" w:tplc="1FA67CDA">
      <w:start w:val="1"/>
      <w:numFmt w:val="upperLetter"/>
      <w:pStyle w:val="Lettere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F4992"/>
    <w:multiLevelType w:val="hybridMultilevel"/>
    <w:tmpl w:val="41560666"/>
    <w:lvl w:ilvl="0" w:tplc="D60ACD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25BF7"/>
    <w:multiLevelType w:val="hybridMultilevel"/>
    <w:tmpl w:val="B8504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63ACC"/>
    <w:multiLevelType w:val="hybridMultilevel"/>
    <w:tmpl w:val="D7E0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120E9"/>
    <w:multiLevelType w:val="hybridMultilevel"/>
    <w:tmpl w:val="3AFEB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6FB7E">
      <w:start w:val="1"/>
      <w:numFmt w:val="decimal"/>
      <w:lvlText w:val="%2."/>
      <w:lvlJc w:val="left"/>
      <w:pPr>
        <w:ind w:left="1530" w:hanging="360"/>
      </w:pPr>
      <w:rPr>
        <w:rFonts w:asciiTheme="majorHAnsi" w:eastAsia="Times New Roman" w:hAnsiTheme="majorHAnsi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3199F"/>
    <w:multiLevelType w:val="hybridMultilevel"/>
    <w:tmpl w:val="3760C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DB44E7"/>
    <w:multiLevelType w:val="hybridMultilevel"/>
    <w:tmpl w:val="1120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C1D34"/>
    <w:multiLevelType w:val="singleLevel"/>
    <w:tmpl w:val="BAF28B64"/>
    <w:lvl w:ilvl="0">
      <w:start w:val="1"/>
      <w:numFmt w:val="bullet"/>
      <w:pStyle w:val="Bullet2"/>
      <w:lvlText w:val="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26" w15:restartNumberingAfterBreak="0">
    <w:nsid w:val="4A8B7508"/>
    <w:multiLevelType w:val="hybridMultilevel"/>
    <w:tmpl w:val="A42CC132"/>
    <w:lvl w:ilvl="0" w:tplc="377C03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A565C"/>
    <w:multiLevelType w:val="hybridMultilevel"/>
    <w:tmpl w:val="834A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A36D4"/>
    <w:multiLevelType w:val="hybridMultilevel"/>
    <w:tmpl w:val="2AB4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555A4"/>
    <w:multiLevelType w:val="hybridMultilevel"/>
    <w:tmpl w:val="6944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E20B3"/>
    <w:multiLevelType w:val="hybridMultilevel"/>
    <w:tmpl w:val="E944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F2272"/>
    <w:multiLevelType w:val="hybridMultilevel"/>
    <w:tmpl w:val="5EDA6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16E5A"/>
    <w:multiLevelType w:val="hybridMultilevel"/>
    <w:tmpl w:val="7318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72F42"/>
    <w:multiLevelType w:val="hybridMultilevel"/>
    <w:tmpl w:val="8416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05D55"/>
    <w:multiLevelType w:val="multilevel"/>
    <w:tmpl w:val="217E51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4"/>
        </w:tabs>
        <w:ind w:left="684" w:hanging="504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pacing w:val="-1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Arial Bold" w:hAnsi="Arial Bold" w:hint="default"/>
        <w:b/>
        <w:i w:val="0"/>
        <w:color w:val="0067C5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5CF6017C"/>
    <w:multiLevelType w:val="hybridMultilevel"/>
    <w:tmpl w:val="65DC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34640"/>
    <w:multiLevelType w:val="hybridMultilevel"/>
    <w:tmpl w:val="F72E5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309CC"/>
    <w:multiLevelType w:val="hybridMultilevel"/>
    <w:tmpl w:val="D046B044"/>
    <w:lvl w:ilvl="0" w:tplc="6142B8B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8E6AF42A">
      <w:numFmt w:val="bullet"/>
      <w:lvlText w:val="•"/>
      <w:lvlJc w:val="left"/>
      <w:pPr>
        <w:ind w:left="2160" w:hanging="360"/>
      </w:pPr>
      <w:rPr>
        <w:rFonts w:ascii="Cambria" w:eastAsiaTheme="minorEastAsia" w:hAnsi="Cambria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140A5"/>
    <w:multiLevelType w:val="hybridMultilevel"/>
    <w:tmpl w:val="9CB2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6482D"/>
    <w:multiLevelType w:val="hybridMultilevel"/>
    <w:tmpl w:val="D8ACD4F8"/>
    <w:lvl w:ilvl="0" w:tplc="B80640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7616A"/>
    <w:multiLevelType w:val="hybridMultilevel"/>
    <w:tmpl w:val="C3A6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1210B"/>
    <w:multiLevelType w:val="multilevel"/>
    <w:tmpl w:val="C068E2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851044"/>
    <w:multiLevelType w:val="hybridMultilevel"/>
    <w:tmpl w:val="7D604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9043909">
    <w:abstractNumId w:val="34"/>
  </w:num>
  <w:num w:numId="2" w16cid:durableId="1751348557">
    <w:abstractNumId w:val="42"/>
  </w:num>
  <w:num w:numId="3" w16cid:durableId="150874745">
    <w:abstractNumId w:val="11"/>
  </w:num>
  <w:num w:numId="4" w16cid:durableId="2144232861">
    <w:abstractNumId w:val="25"/>
  </w:num>
  <w:num w:numId="5" w16cid:durableId="1131703244">
    <w:abstractNumId w:val="1"/>
  </w:num>
  <w:num w:numId="6" w16cid:durableId="1020745111">
    <w:abstractNumId w:val="41"/>
  </w:num>
  <w:num w:numId="7" w16cid:durableId="1742215686">
    <w:abstractNumId w:val="13"/>
  </w:num>
  <w:num w:numId="8" w16cid:durableId="477844701">
    <w:abstractNumId w:val="40"/>
  </w:num>
  <w:num w:numId="9" w16cid:durableId="948006416">
    <w:abstractNumId w:val="3"/>
  </w:num>
  <w:num w:numId="10" w16cid:durableId="537816506">
    <w:abstractNumId w:val="22"/>
  </w:num>
  <w:num w:numId="11" w16cid:durableId="106773876">
    <w:abstractNumId w:val="14"/>
  </w:num>
  <w:num w:numId="12" w16cid:durableId="396130164">
    <w:abstractNumId w:val="30"/>
  </w:num>
  <w:num w:numId="13" w16cid:durableId="621158478">
    <w:abstractNumId w:val="18"/>
  </w:num>
  <w:num w:numId="14" w16cid:durableId="1832404677">
    <w:abstractNumId w:val="36"/>
  </w:num>
  <w:num w:numId="15" w16cid:durableId="227544665">
    <w:abstractNumId w:val="39"/>
  </w:num>
  <w:num w:numId="16" w16cid:durableId="1459297228">
    <w:abstractNumId w:val="21"/>
  </w:num>
  <w:num w:numId="17" w16cid:durableId="1277174681">
    <w:abstractNumId w:val="17"/>
  </w:num>
  <w:num w:numId="18" w16cid:durableId="207960846">
    <w:abstractNumId w:val="32"/>
  </w:num>
  <w:num w:numId="19" w16cid:durableId="1801343616">
    <w:abstractNumId w:val="0"/>
  </w:num>
  <w:num w:numId="20" w16cid:durableId="977564498">
    <w:abstractNumId w:val="31"/>
  </w:num>
  <w:num w:numId="21" w16cid:durableId="732502914">
    <w:abstractNumId w:val="35"/>
  </w:num>
  <w:num w:numId="22" w16cid:durableId="1815564434">
    <w:abstractNumId w:val="8"/>
  </w:num>
  <w:num w:numId="23" w16cid:durableId="708459692">
    <w:abstractNumId w:val="27"/>
  </w:num>
  <w:num w:numId="24" w16cid:durableId="1776555005">
    <w:abstractNumId w:val="9"/>
  </w:num>
  <w:num w:numId="25" w16cid:durableId="716585429">
    <w:abstractNumId w:val="6"/>
  </w:num>
  <w:num w:numId="26" w16cid:durableId="905990578">
    <w:abstractNumId w:val="24"/>
  </w:num>
  <w:num w:numId="27" w16cid:durableId="1918854819">
    <w:abstractNumId w:val="12"/>
  </w:num>
  <w:num w:numId="28" w16cid:durableId="975836073">
    <w:abstractNumId w:val="29"/>
  </w:num>
  <w:num w:numId="29" w16cid:durableId="969015488">
    <w:abstractNumId w:val="20"/>
  </w:num>
  <w:num w:numId="30" w16cid:durableId="1282418357">
    <w:abstractNumId w:val="16"/>
  </w:num>
  <w:num w:numId="31" w16cid:durableId="1310329137">
    <w:abstractNumId w:val="5"/>
  </w:num>
  <w:num w:numId="32" w16cid:durableId="903685314">
    <w:abstractNumId w:val="28"/>
  </w:num>
  <w:num w:numId="33" w16cid:durableId="1866483826">
    <w:abstractNumId w:val="4"/>
  </w:num>
  <w:num w:numId="34" w16cid:durableId="95757258">
    <w:abstractNumId w:val="10"/>
  </w:num>
  <w:num w:numId="35" w16cid:durableId="8439826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86337232">
    <w:abstractNumId w:val="37"/>
  </w:num>
  <w:num w:numId="37" w16cid:durableId="698700677">
    <w:abstractNumId w:val="19"/>
  </w:num>
  <w:num w:numId="38" w16cid:durableId="1390958039">
    <w:abstractNumId w:val="33"/>
  </w:num>
  <w:num w:numId="39" w16cid:durableId="1614305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14382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8095848">
    <w:abstractNumId w:val="2"/>
  </w:num>
  <w:num w:numId="42" w16cid:durableId="1677658337">
    <w:abstractNumId w:val="26"/>
  </w:num>
  <w:num w:numId="43" w16cid:durableId="749157454">
    <w:abstractNumId w:val="23"/>
  </w:num>
  <w:num w:numId="44" w16cid:durableId="2061051286">
    <w:abstractNumId w:val="15"/>
  </w:num>
  <w:num w:numId="45" w16cid:durableId="319695410">
    <w:abstractNumId w:val="38"/>
  </w:num>
  <w:num w:numId="46" w16cid:durableId="133765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2C"/>
    <w:rsid w:val="00000AB5"/>
    <w:rsid w:val="00005CF7"/>
    <w:rsid w:val="00016047"/>
    <w:rsid w:val="000211A4"/>
    <w:rsid w:val="00021743"/>
    <w:rsid w:val="0002202F"/>
    <w:rsid w:val="00024F2C"/>
    <w:rsid w:val="000273B7"/>
    <w:rsid w:val="0003747F"/>
    <w:rsid w:val="0004030D"/>
    <w:rsid w:val="00044EFA"/>
    <w:rsid w:val="000617ED"/>
    <w:rsid w:val="000C1CE0"/>
    <w:rsid w:val="000C3869"/>
    <w:rsid w:val="000C4998"/>
    <w:rsid w:val="000D4C0D"/>
    <w:rsid w:val="001004E0"/>
    <w:rsid w:val="00101F9D"/>
    <w:rsid w:val="0010503D"/>
    <w:rsid w:val="00133D80"/>
    <w:rsid w:val="0014497A"/>
    <w:rsid w:val="0019095C"/>
    <w:rsid w:val="001A0A12"/>
    <w:rsid w:val="001D1641"/>
    <w:rsid w:val="00203F4E"/>
    <w:rsid w:val="00214337"/>
    <w:rsid w:val="002269E1"/>
    <w:rsid w:val="00244553"/>
    <w:rsid w:val="00281A66"/>
    <w:rsid w:val="00296B74"/>
    <w:rsid w:val="002E1C64"/>
    <w:rsid w:val="002F3E83"/>
    <w:rsid w:val="00304B84"/>
    <w:rsid w:val="00332A28"/>
    <w:rsid w:val="00342AD6"/>
    <w:rsid w:val="003637CE"/>
    <w:rsid w:val="003C734F"/>
    <w:rsid w:val="003E0AF6"/>
    <w:rsid w:val="00402B90"/>
    <w:rsid w:val="004316C9"/>
    <w:rsid w:val="00434AD0"/>
    <w:rsid w:val="00434BFE"/>
    <w:rsid w:val="00437BDD"/>
    <w:rsid w:val="004510F4"/>
    <w:rsid w:val="00483CB2"/>
    <w:rsid w:val="00496330"/>
    <w:rsid w:val="004C62DD"/>
    <w:rsid w:val="004D12AF"/>
    <w:rsid w:val="004E0E47"/>
    <w:rsid w:val="004F21D2"/>
    <w:rsid w:val="00503316"/>
    <w:rsid w:val="00511D79"/>
    <w:rsid w:val="005459C3"/>
    <w:rsid w:val="005473E7"/>
    <w:rsid w:val="005876B2"/>
    <w:rsid w:val="005B0078"/>
    <w:rsid w:val="005D7339"/>
    <w:rsid w:val="005E01D4"/>
    <w:rsid w:val="005E0722"/>
    <w:rsid w:val="006308E0"/>
    <w:rsid w:val="0063145F"/>
    <w:rsid w:val="006445DE"/>
    <w:rsid w:val="00654D6B"/>
    <w:rsid w:val="0067142A"/>
    <w:rsid w:val="00683030"/>
    <w:rsid w:val="006A0AD5"/>
    <w:rsid w:val="006D4C91"/>
    <w:rsid w:val="00704324"/>
    <w:rsid w:val="00730FEB"/>
    <w:rsid w:val="0078076A"/>
    <w:rsid w:val="007A6726"/>
    <w:rsid w:val="007B142A"/>
    <w:rsid w:val="007E1ECF"/>
    <w:rsid w:val="007F0A10"/>
    <w:rsid w:val="007F5C79"/>
    <w:rsid w:val="00815546"/>
    <w:rsid w:val="00830F00"/>
    <w:rsid w:val="00846429"/>
    <w:rsid w:val="00862CC7"/>
    <w:rsid w:val="0087366A"/>
    <w:rsid w:val="008A092D"/>
    <w:rsid w:val="008A3116"/>
    <w:rsid w:val="008B0A4A"/>
    <w:rsid w:val="008D7511"/>
    <w:rsid w:val="008E60C0"/>
    <w:rsid w:val="008F7470"/>
    <w:rsid w:val="00903844"/>
    <w:rsid w:val="00935F20"/>
    <w:rsid w:val="00936B43"/>
    <w:rsid w:val="009650F6"/>
    <w:rsid w:val="00966D41"/>
    <w:rsid w:val="00973E2E"/>
    <w:rsid w:val="00974336"/>
    <w:rsid w:val="009949F3"/>
    <w:rsid w:val="009A15DA"/>
    <w:rsid w:val="009B4936"/>
    <w:rsid w:val="009D1C3D"/>
    <w:rsid w:val="009F0E66"/>
    <w:rsid w:val="00A22853"/>
    <w:rsid w:val="00A41748"/>
    <w:rsid w:val="00A46CBB"/>
    <w:rsid w:val="00A52937"/>
    <w:rsid w:val="00A628EB"/>
    <w:rsid w:val="00A737CD"/>
    <w:rsid w:val="00AE7BE0"/>
    <w:rsid w:val="00B1597D"/>
    <w:rsid w:val="00B23B83"/>
    <w:rsid w:val="00B34ADF"/>
    <w:rsid w:val="00B41258"/>
    <w:rsid w:val="00B42678"/>
    <w:rsid w:val="00B62D6E"/>
    <w:rsid w:val="00B85A64"/>
    <w:rsid w:val="00BB650B"/>
    <w:rsid w:val="00C03BDC"/>
    <w:rsid w:val="00C079A4"/>
    <w:rsid w:val="00C17C3E"/>
    <w:rsid w:val="00C51A23"/>
    <w:rsid w:val="00CB2EE2"/>
    <w:rsid w:val="00CC3400"/>
    <w:rsid w:val="00CF5B39"/>
    <w:rsid w:val="00D00D2D"/>
    <w:rsid w:val="00D12A2D"/>
    <w:rsid w:val="00D8031B"/>
    <w:rsid w:val="00D85CD9"/>
    <w:rsid w:val="00D93AA8"/>
    <w:rsid w:val="00D96253"/>
    <w:rsid w:val="00D97FA2"/>
    <w:rsid w:val="00DA6C1E"/>
    <w:rsid w:val="00DB0A56"/>
    <w:rsid w:val="00DF03BD"/>
    <w:rsid w:val="00DF742B"/>
    <w:rsid w:val="00E14DCA"/>
    <w:rsid w:val="00E22B22"/>
    <w:rsid w:val="00E51E03"/>
    <w:rsid w:val="00E60DE4"/>
    <w:rsid w:val="00E64ACB"/>
    <w:rsid w:val="00E66905"/>
    <w:rsid w:val="00E749D6"/>
    <w:rsid w:val="00E74C3E"/>
    <w:rsid w:val="00E96066"/>
    <w:rsid w:val="00EA0F3F"/>
    <w:rsid w:val="00EB0CE5"/>
    <w:rsid w:val="00EB2F3F"/>
    <w:rsid w:val="00EF16E2"/>
    <w:rsid w:val="00EF2577"/>
    <w:rsid w:val="00F5304A"/>
    <w:rsid w:val="00F76CA9"/>
    <w:rsid w:val="00F76EAC"/>
    <w:rsid w:val="00F81A55"/>
    <w:rsid w:val="00F911A3"/>
    <w:rsid w:val="00F96C27"/>
    <w:rsid w:val="00FA37AA"/>
    <w:rsid w:val="00FD1F6D"/>
    <w:rsid w:val="00FD5529"/>
    <w:rsid w:val="00F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5EAF2"/>
  <w15:chartTrackingRefBased/>
  <w15:docId w15:val="{A93D4F5C-519D-428E-AAE5-0ABE60E8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2C"/>
    <w:pPr>
      <w:spacing w:after="0" w:line="240" w:lineRule="auto"/>
    </w:pPr>
    <w:rPr>
      <w:rFonts w:ascii="Times New Roman" w:eastAsia="Times New Roman" w:hAnsi="Times New Roman" w:cs="Times New Roman"/>
      <w:sz w:val="21"/>
      <w:szCs w:val="20"/>
    </w:rPr>
  </w:style>
  <w:style w:type="paragraph" w:styleId="Heading1">
    <w:name w:val="heading 1"/>
    <w:next w:val="Body"/>
    <w:link w:val="Heading1Char"/>
    <w:qFormat/>
    <w:rsid w:val="00DF03BD"/>
    <w:pPr>
      <w:keepNext/>
      <w:numPr>
        <w:numId w:val="1"/>
      </w:numPr>
      <w:spacing w:before="240" w:after="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Heading2">
    <w:name w:val="heading 2"/>
    <w:next w:val="Body"/>
    <w:link w:val="Heading2Char"/>
    <w:qFormat/>
    <w:rsid w:val="00DF03BD"/>
    <w:pPr>
      <w:keepNext/>
      <w:numPr>
        <w:ilvl w:val="1"/>
        <w:numId w:val="1"/>
      </w:numPr>
      <w:tabs>
        <w:tab w:val="clear" w:pos="684"/>
        <w:tab w:val="num" w:pos="900"/>
      </w:tabs>
      <w:spacing w:before="240" w:after="0" w:line="240" w:lineRule="auto"/>
      <w:ind w:left="720" w:hanging="684"/>
      <w:outlineLvl w:val="1"/>
    </w:pPr>
    <w:rPr>
      <w:rFonts w:ascii="Arial" w:eastAsia="Times New Roman" w:hAnsi="Arial" w:cs="Times New Roman"/>
      <w:b/>
      <w:kern w:val="24"/>
      <w:sz w:val="26"/>
      <w:szCs w:val="26"/>
    </w:rPr>
  </w:style>
  <w:style w:type="paragraph" w:styleId="Heading3">
    <w:name w:val="heading 3"/>
    <w:basedOn w:val="Normal"/>
    <w:next w:val="Body"/>
    <w:link w:val="Heading3Char"/>
    <w:qFormat/>
    <w:rsid w:val="00DF0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0A56"/>
    <w:pPr>
      <w:keepNext/>
      <w:keepLines/>
      <w:spacing w:before="40"/>
      <w:outlineLvl w:val="3"/>
    </w:pPr>
    <w:rPr>
      <w:rFonts w:ascii="Arial" w:eastAsiaTheme="majorEastAsia" w:hAnsi="Arial" w:cstheme="majorBidi"/>
      <w:i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4F2C"/>
    <w:pPr>
      <w:spacing w:before="240" w:after="60"/>
    </w:pPr>
    <w:rPr>
      <w:rFonts w:ascii="Arial" w:hAnsi="Arial"/>
      <w:b/>
      <w:spacing w:val="20"/>
      <w:kern w:val="28"/>
      <w:sz w:val="72"/>
    </w:rPr>
  </w:style>
  <w:style w:type="character" w:customStyle="1" w:styleId="TitleChar">
    <w:name w:val="Title Char"/>
    <w:basedOn w:val="DefaultParagraphFont"/>
    <w:link w:val="Title"/>
    <w:rsid w:val="00024F2C"/>
    <w:rPr>
      <w:rFonts w:ascii="Arial" w:eastAsia="Times New Roman" w:hAnsi="Arial" w:cs="Times New Roman"/>
      <w:b/>
      <w:spacing w:val="20"/>
      <w:kern w:val="28"/>
      <w:sz w:val="72"/>
      <w:szCs w:val="20"/>
    </w:rPr>
  </w:style>
  <w:style w:type="character" w:styleId="Hyperlink">
    <w:name w:val="Hyperlink"/>
    <w:uiPriority w:val="99"/>
    <w:rsid w:val="00024F2C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024F2C"/>
    <w:pPr>
      <w:tabs>
        <w:tab w:val="right" w:leader="dot" w:pos="8640"/>
      </w:tabs>
      <w:spacing w:before="120" w:after="120"/>
      <w:ind w:left="720" w:right="360" w:hanging="360"/>
    </w:pPr>
    <w:rPr>
      <w:b/>
      <w:noProof/>
      <w:szCs w:val="21"/>
    </w:rPr>
  </w:style>
  <w:style w:type="paragraph" w:styleId="TOC2">
    <w:name w:val="toc 2"/>
    <w:basedOn w:val="Normal"/>
    <w:next w:val="Normal"/>
    <w:uiPriority w:val="39"/>
    <w:rsid w:val="00024F2C"/>
    <w:pPr>
      <w:tabs>
        <w:tab w:val="right" w:leader="dot" w:pos="8640"/>
      </w:tabs>
      <w:ind w:left="1260" w:right="360" w:hanging="540"/>
    </w:pPr>
    <w:rPr>
      <w:noProof/>
      <w:szCs w:val="21"/>
    </w:rPr>
  </w:style>
  <w:style w:type="paragraph" w:styleId="TOC3">
    <w:name w:val="toc 3"/>
    <w:basedOn w:val="TOC2"/>
    <w:next w:val="Normal"/>
    <w:uiPriority w:val="39"/>
    <w:rsid w:val="00024F2C"/>
    <w:pPr>
      <w:ind w:left="1800"/>
    </w:pPr>
  </w:style>
  <w:style w:type="paragraph" w:styleId="Footer">
    <w:name w:val="footer"/>
    <w:basedOn w:val="Normal"/>
    <w:link w:val="FooterChar"/>
    <w:uiPriority w:val="99"/>
    <w:rsid w:val="00024F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F2C"/>
    <w:rPr>
      <w:rFonts w:ascii="Times New Roman" w:eastAsia="Times New Roman" w:hAnsi="Times New Roman" w:cs="Times New Roman"/>
      <w:sz w:val="21"/>
      <w:szCs w:val="20"/>
    </w:rPr>
  </w:style>
  <w:style w:type="paragraph" w:styleId="TOC4">
    <w:name w:val="toc 4"/>
    <w:basedOn w:val="Normal"/>
    <w:next w:val="Normal"/>
    <w:uiPriority w:val="39"/>
    <w:rsid w:val="00024F2C"/>
    <w:pPr>
      <w:tabs>
        <w:tab w:val="right" w:leader="dot" w:pos="8640"/>
      </w:tabs>
      <w:ind w:left="1800"/>
    </w:pPr>
    <w:rPr>
      <w:noProof/>
      <w:szCs w:val="21"/>
    </w:rPr>
  </w:style>
  <w:style w:type="paragraph" w:customStyle="1" w:styleId="Default">
    <w:name w:val="Default"/>
    <w:rsid w:val="00024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F03BD"/>
    <w:rPr>
      <w:rFonts w:ascii="Arial" w:eastAsia="Times New Roman" w:hAnsi="Arial" w:cs="Times New Roman"/>
      <w:b/>
      <w:kern w:val="28"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DF03BD"/>
    <w:rPr>
      <w:rFonts w:ascii="Arial" w:eastAsia="Times New Roman" w:hAnsi="Arial" w:cs="Times New Roman"/>
      <w:b/>
      <w:kern w:val="24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F03BD"/>
    <w:rPr>
      <w:rFonts w:ascii="Arial" w:eastAsia="Times New Roman" w:hAnsi="Arial" w:cs="Arial"/>
      <w:bCs/>
      <w:sz w:val="24"/>
      <w:szCs w:val="24"/>
    </w:rPr>
  </w:style>
  <w:style w:type="paragraph" w:customStyle="1" w:styleId="Body">
    <w:name w:val="Body"/>
    <w:rsid w:val="00DF03BD"/>
    <w:pPr>
      <w:spacing w:before="120" w:after="60" w:line="259" w:lineRule="atLeast"/>
    </w:pPr>
    <w:rPr>
      <w:rFonts w:asciiTheme="majorHAnsi" w:eastAsia="Times New Roman" w:hAnsiTheme="majorHAnsi" w:cs="Times New Roman"/>
      <w:color w:val="000000"/>
    </w:rPr>
  </w:style>
  <w:style w:type="paragraph" w:customStyle="1" w:styleId="Bulleted">
    <w:name w:val="Bulleted"/>
    <w:basedOn w:val="Body"/>
    <w:rsid w:val="00DF03BD"/>
    <w:pPr>
      <w:spacing w:before="20" w:after="20"/>
    </w:pPr>
  </w:style>
  <w:style w:type="paragraph" w:customStyle="1" w:styleId="Bullet2">
    <w:name w:val="Bullet 2"/>
    <w:basedOn w:val="Normal"/>
    <w:rsid w:val="00BB650B"/>
    <w:pPr>
      <w:widowControl w:val="0"/>
      <w:numPr>
        <w:numId w:val="4"/>
      </w:numPr>
      <w:tabs>
        <w:tab w:val="left" w:pos="-1440"/>
      </w:tabs>
      <w:jc w:val="both"/>
    </w:pPr>
    <w:rPr>
      <w:snapToGrid w:val="0"/>
      <w:color w:val="000000"/>
    </w:rPr>
  </w:style>
  <w:style w:type="paragraph" w:customStyle="1" w:styleId="Lettered">
    <w:name w:val="Lettered"/>
    <w:basedOn w:val="Body"/>
    <w:rsid w:val="004F21D2"/>
    <w:pPr>
      <w:numPr>
        <w:numId w:val="13"/>
      </w:numPr>
      <w:spacing w:before="20" w:after="2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6C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C27"/>
    <w:rPr>
      <w:rFonts w:ascii="Times New Roman" w:eastAsia="Times New Roman" w:hAnsi="Times New Roman" w:cs="Times New Roman"/>
      <w:sz w:val="21"/>
      <w:szCs w:val="20"/>
    </w:rPr>
  </w:style>
  <w:style w:type="paragraph" w:customStyle="1" w:styleId="Bulletlast">
    <w:name w:val="Bullet last"/>
    <w:basedOn w:val="Bulleted"/>
    <w:qFormat/>
    <w:rsid w:val="004E0E47"/>
    <w:pPr>
      <w:spacing w:after="120"/>
    </w:pPr>
  </w:style>
  <w:style w:type="character" w:customStyle="1" w:styleId="msoins0">
    <w:name w:val="msoins"/>
    <w:rsid w:val="006D4C91"/>
    <w:rPr>
      <w:color w:val="00808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0A56"/>
    <w:rPr>
      <w:rFonts w:ascii="Arial" w:eastAsiaTheme="majorEastAsia" w:hAnsi="Arial" w:cstheme="majorBidi"/>
      <w:iCs/>
      <w:szCs w:val="20"/>
      <w:u w:val="single"/>
    </w:rPr>
  </w:style>
  <w:style w:type="paragraph" w:styleId="Caption">
    <w:name w:val="caption"/>
    <w:basedOn w:val="Normal"/>
    <w:next w:val="Normal"/>
    <w:qFormat/>
    <w:rsid w:val="007E1ECF"/>
    <w:pPr>
      <w:keepNext/>
      <w:spacing w:before="120" w:after="120"/>
      <w:jc w:val="center"/>
    </w:pPr>
    <w:rPr>
      <w:rFonts w:ascii="Arial Bold" w:hAnsi="Arial Bold" w:cs="Arial"/>
      <w:b/>
      <w:bCs/>
      <w:spacing w:val="10"/>
    </w:rPr>
  </w:style>
  <w:style w:type="paragraph" w:customStyle="1" w:styleId="Heading1Appendix">
    <w:name w:val="Heading 1 Appendix"/>
    <w:basedOn w:val="Heading1"/>
    <w:qFormat/>
    <w:rsid w:val="007E1ECF"/>
    <w:pPr>
      <w:numPr>
        <w:numId w:val="0"/>
      </w:numPr>
      <w:spacing w:before="0"/>
      <w:ind w:left="-2880"/>
    </w:pPr>
    <w:rPr>
      <w:sz w:val="36"/>
      <w:szCs w:val="36"/>
    </w:rPr>
  </w:style>
  <w:style w:type="paragraph" w:styleId="NoSpacing">
    <w:name w:val="No Spacing"/>
    <w:link w:val="NoSpacingChar"/>
    <w:uiPriority w:val="1"/>
    <w:qFormat/>
    <w:rsid w:val="005E072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E0722"/>
    <w:rPr>
      <w:rFonts w:eastAsiaTheme="minorEastAsi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52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52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529"/>
    <w:pPr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52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8031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3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31B"/>
    <w:rPr>
      <w:rFonts w:ascii="Segoe UI" w:eastAsia="Times New Roman" w:hAnsi="Segoe UI" w:cs="Segoe UI"/>
      <w:sz w:val="18"/>
      <w:szCs w:val="18"/>
    </w:rPr>
  </w:style>
  <w:style w:type="paragraph" w:customStyle="1" w:styleId="Bulletwithspace">
    <w:name w:val="Bullet with space"/>
    <w:basedOn w:val="Bulleted"/>
    <w:qFormat/>
    <w:rsid w:val="00342AD6"/>
    <w:pPr>
      <w:numPr>
        <w:numId w:val="41"/>
      </w:numPr>
      <w:spacing w:before="120"/>
    </w:pPr>
    <w:rPr>
      <w:rFonts w:ascii="Times New Roman" w:hAnsi="Times New Roman"/>
      <w:sz w:val="21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2CC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C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69E1"/>
    <w:pPr>
      <w:spacing w:after="0" w:line="240" w:lineRule="auto"/>
    </w:pPr>
    <w:rPr>
      <w:rFonts w:ascii="Times New Roman" w:eastAsia="Times New Roman" w:hAnsi="Times New Roman" w:cs="Times New Roman"/>
      <w:sz w:val="21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807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076A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78076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1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A6156-BD52-4BC4-A856-8B064CD6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703</Words>
  <Characters>3876</Characters>
  <Application>Microsoft Office Word</Application>
  <DocSecurity>0</DocSecurity>
  <Lines>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Blissit</dc:creator>
  <cp:keywords/>
  <dc:description/>
  <cp:lastModifiedBy>Kristin Ward</cp:lastModifiedBy>
  <cp:revision>6</cp:revision>
  <cp:lastPrinted>2019-03-05T14:54:00Z</cp:lastPrinted>
  <dcterms:created xsi:type="dcterms:W3CDTF">2021-08-19T13:34:00Z</dcterms:created>
  <dcterms:modified xsi:type="dcterms:W3CDTF">2026-03-24T19:48:00Z</dcterms:modified>
</cp:coreProperties>
</file>